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jc w:val="center"/>
        <w:rPr>
          <w:rFonts w:hint="eastAsia" w:ascii="黑体" w:hAnsi="黑体" w:eastAsia="黑体"/>
          <w:b/>
          <w:color w:val="339966"/>
          <w:sz w:val="70"/>
          <w:szCs w:val="70"/>
        </w:rPr>
      </w:pPr>
      <w:r>
        <w:rPr>
          <w:rFonts w:hint="eastAsia" w:ascii="黑体" w:hAnsi="黑体" w:eastAsia="黑体"/>
          <w:b/>
          <w:color w:val="339966"/>
          <w:sz w:val="70"/>
          <w:szCs w:val="70"/>
        </w:rPr>
        <w:t>江苏省风景园林协会</w:t>
      </w:r>
    </w:p>
    <w:p>
      <w:pPr>
        <w:spacing w:line="1500" w:lineRule="exact"/>
        <w:jc w:val="center"/>
        <w:rPr>
          <w:rFonts w:hint="eastAsia" w:ascii="宋体" w:hAnsi="宋体"/>
          <w:b/>
          <w:color w:val="339966"/>
          <w:sz w:val="120"/>
          <w:szCs w:val="120"/>
        </w:rPr>
      </w:pPr>
      <w:r>
        <w:rPr>
          <w:rFonts w:hint="eastAsia" w:ascii="宋体" w:hAnsi="宋体"/>
          <w:b/>
          <w:color w:val="339966"/>
          <w:sz w:val="120"/>
          <w:szCs w:val="120"/>
        </w:rPr>
        <w:t>简   讯</w:t>
      </w:r>
    </w:p>
    <w:p>
      <w:pPr>
        <w:rPr>
          <w:rFonts w:hint="eastAsia"/>
          <w:b/>
          <w:sz w:val="32"/>
          <w:szCs w:val="32"/>
        </w:rPr>
      </w:pPr>
      <w:r>
        <w:rPr>
          <w:rFonts w:hint="eastAsia" w:ascii="楷体_GB2312" w:eastAsia="楷体_GB2312"/>
          <w:color w:val="339966"/>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373380</wp:posOffset>
                </wp:positionV>
                <wp:extent cx="52578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339966"/>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4pt;height:0pt;width:414pt;z-index:251658240;mso-width-relative:page;mso-height-relative:page;" filled="f" stroked="t" coordsize="21600,21600" o:gfxdata="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6biXPUAAAABgEAAA8AAAAA&#10;AAAAAQAgAAAAIgAAAGRycy9kb3ducmV2LnhtbFBLAQIUABQAAAAIAIdO4kBKj4XF3wEAAJkDAAAO&#10;AAAAAAAAAAEAIAAAACMBAABkcnMvZTJvRG9jLnhtbFBLBQYAAAAABgAGAFkBAAB0BQAAAAA=&#10;">
                <v:fill on="f" focussize="0,0"/>
                <v:stroke weight="1.5pt" color="#339966" joinstyle="round"/>
                <v:imagedata o:title=""/>
                <o:lock v:ext="edit" aspectratio="f"/>
              </v:line>
            </w:pict>
          </mc:Fallback>
        </mc:AlternateContent>
      </w:r>
      <w:r>
        <w:rPr>
          <w:rFonts w:hint="eastAsia" w:ascii="楷体_GB2312" w:eastAsia="楷体_GB2312"/>
          <w:color w:val="339966"/>
          <w:sz w:val="28"/>
          <w:szCs w:val="28"/>
        </w:rPr>
        <w:t>2019年第</w:t>
      </w:r>
      <w:r>
        <w:rPr>
          <w:rFonts w:hint="eastAsia" w:ascii="楷体_GB2312" w:eastAsia="楷体_GB2312"/>
          <w:color w:val="339966"/>
          <w:sz w:val="28"/>
          <w:szCs w:val="28"/>
          <w:lang w:val="en-US" w:eastAsia="zh-CN"/>
        </w:rPr>
        <w:t>6</w:t>
      </w:r>
      <w:r>
        <w:rPr>
          <w:rFonts w:hint="eastAsia" w:ascii="楷体_GB2312" w:eastAsia="楷体_GB2312"/>
          <w:color w:val="339966"/>
          <w:sz w:val="28"/>
          <w:szCs w:val="28"/>
        </w:rPr>
        <w:t>期（总2</w:t>
      </w:r>
      <w:r>
        <w:rPr>
          <w:rFonts w:hint="eastAsia" w:ascii="楷体_GB2312" w:eastAsia="楷体_GB2312"/>
          <w:color w:val="339966"/>
          <w:sz w:val="28"/>
          <w:szCs w:val="28"/>
          <w:lang w:val="en-US" w:eastAsia="zh-CN"/>
        </w:rPr>
        <w:t>6</w:t>
      </w:r>
      <w:r>
        <w:rPr>
          <w:rFonts w:hint="eastAsia" w:ascii="楷体_GB2312" w:eastAsia="楷体_GB2312"/>
          <w:color w:val="339966"/>
          <w:sz w:val="28"/>
          <w:szCs w:val="28"/>
        </w:rPr>
        <w:t>期）                  2019年</w:t>
      </w:r>
      <w:r>
        <w:rPr>
          <w:rFonts w:hint="eastAsia" w:ascii="楷体_GB2312" w:eastAsia="楷体_GB2312"/>
          <w:color w:val="339966"/>
          <w:sz w:val="28"/>
          <w:szCs w:val="28"/>
          <w:lang w:val="en-US" w:eastAsia="zh-CN"/>
        </w:rPr>
        <w:t>7</w:t>
      </w:r>
      <w:r>
        <w:rPr>
          <w:rFonts w:hint="eastAsia" w:ascii="楷体_GB2312" w:eastAsia="楷体_GB2312"/>
          <w:color w:val="339966"/>
          <w:sz w:val="28"/>
          <w:szCs w:val="28"/>
        </w:rPr>
        <w:t>月</w:t>
      </w:r>
      <w:r>
        <w:rPr>
          <w:rFonts w:hint="eastAsia" w:ascii="楷体_GB2312" w:eastAsia="楷体_GB2312"/>
          <w:color w:val="339966"/>
          <w:sz w:val="28"/>
          <w:szCs w:val="28"/>
          <w:lang w:val="en-US" w:eastAsia="zh-CN"/>
        </w:rPr>
        <w:t>10</w:t>
      </w:r>
      <w:r>
        <w:rPr>
          <w:rFonts w:hint="eastAsia" w:ascii="楷体_GB2312" w:eastAsia="楷体_GB2312"/>
          <w:color w:val="339966"/>
          <w:sz w:val="28"/>
          <w:szCs w:val="28"/>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Theme="minorEastAsia" w:hAnsiTheme="minorEastAsia" w:eastAsiaTheme="minorEastAsia" w:cstheme="minorEastAsia"/>
          <w:b w:val="0"/>
          <w:i w:val="0"/>
          <w:caps w:val="0"/>
          <w:color w:val="333333"/>
          <w:spacing w:val="8"/>
          <w:sz w:val="28"/>
          <w:szCs w:val="28"/>
        </w:rPr>
      </w:pPr>
      <w:r>
        <w:rPr>
          <w:rStyle w:val="6"/>
          <w:rFonts w:hint="eastAsia" w:asciiTheme="minorEastAsia" w:hAnsiTheme="minorEastAsia" w:eastAsiaTheme="minorEastAsia" w:cstheme="minorEastAsia"/>
          <w:i w:val="0"/>
          <w:caps w:val="0"/>
          <w:color w:val="333333"/>
          <w:spacing w:val="8"/>
          <w:sz w:val="28"/>
          <w:szCs w:val="28"/>
          <w:shd w:val="clear" w:fill="FFFFFF"/>
        </w:rPr>
        <w:t>本 期 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b w:val="0"/>
          <w:i w:val="0"/>
          <w:caps w:val="0"/>
          <w:color w:val="333333"/>
          <w:spacing w:val="8"/>
          <w:sz w:val="24"/>
          <w:szCs w:val="24"/>
        </w:rPr>
      </w:pPr>
      <w:r>
        <w:rPr>
          <w:rStyle w:val="6"/>
          <w:rFonts w:hint="eastAsia" w:asciiTheme="minorEastAsia" w:hAnsiTheme="minorEastAsia" w:eastAsiaTheme="minorEastAsia" w:cstheme="minorEastAsia"/>
          <w:i w:val="0"/>
          <w:caps w:val="0"/>
          <w:color w:val="333333"/>
          <w:spacing w:val="8"/>
          <w:sz w:val="24"/>
          <w:szCs w:val="24"/>
          <w:shd w:val="clear" w:fill="FFFFFF"/>
        </w:rPr>
        <w:t>【综合简讯】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01/习近平绿色箴言妙喻美丽中国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02/《政府投资条例》自2019年7月1日起施行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360" w:right="0" w:firstLine="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cstheme="minorEastAsia"/>
          <w:b w:val="0"/>
          <w:i w:val="0"/>
          <w:caps w:val="0"/>
          <w:color w:val="333333"/>
          <w:spacing w:val="8"/>
          <w:sz w:val="24"/>
          <w:szCs w:val="24"/>
          <w:shd w:val="clear" w:fill="FFFFFF"/>
          <w:lang w:val="en-US" w:eastAsia="zh-CN"/>
        </w:rPr>
        <w:t xml:space="preserve"> </w:t>
      </w:r>
      <w:r>
        <w:rPr>
          <w:rFonts w:hint="eastAsia" w:asciiTheme="minorEastAsia" w:hAnsiTheme="minorEastAsia" w:eastAsiaTheme="minorEastAsia" w:cstheme="minorEastAsia"/>
          <w:b w:val="0"/>
          <w:i w:val="0"/>
          <w:caps w:val="0"/>
          <w:color w:val="333333"/>
          <w:spacing w:val="8"/>
          <w:sz w:val="24"/>
          <w:szCs w:val="24"/>
          <w:shd w:val="clear" w:fill="FFFFFF"/>
        </w:rPr>
        <w:t>明确禁止垫资行为 实行垫资的EPC模式受到限制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03/国家标准《海绵城市建设评价标准》发布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256" w:right="0" w:hanging="256" w:hangingChars="10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04/国家发改委联合住建部印发《关于推进全过程工程咨询服务发展的指导意见》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Theme="minorEastAsia" w:hAnsiTheme="minorEastAsia" w:eastAsiaTheme="minorEastAsia" w:cstheme="minorEastAsia"/>
          <w:b w:val="0"/>
          <w:i w:val="0"/>
          <w:caps w:val="0"/>
          <w:color w:val="333333"/>
          <w:spacing w:val="8"/>
          <w:sz w:val="24"/>
          <w:szCs w:val="24"/>
          <w:shd w:val="clear" w:fill="FFFFFF"/>
        </w:rPr>
      </w:pPr>
      <w:r>
        <w:rPr>
          <w:rFonts w:hint="eastAsia" w:asciiTheme="minorEastAsia" w:hAnsiTheme="minorEastAsia" w:eastAsiaTheme="minorEastAsia" w:cstheme="minorEastAsia"/>
          <w:b w:val="0"/>
          <w:i w:val="0"/>
          <w:caps w:val="0"/>
          <w:color w:val="333333"/>
          <w:spacing w:val="8"/>
          <w:sz w:val="24"/>
          <w:szCs w:val="24"/>
          <w:shd w:val="clear" w:fill="FFFFFF"/>
        </w:rPr>
        <w:t>05/国家发改委正研究特色小镇标准 防止“一哄而上”转为“一哄而散”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06/住建部发布行业标准：《园林绿化养护标准》2019年4月1日起生效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07/住建部发布行业标准：《园林绿化木本苗》2019年5月1日起实施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256" w:right="0" w:hanging="256" w:hangingChars="10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08/住建部发布行业标准：《边坡喷播绿化工程技术标准》2019年4月1日起实施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256" w:right="0" w:hanging="256" w:hangingChars="10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09/住房城乡建设部发布行业标准：《园林绿化工程盐碱地改良技术标准》2019年4月1日起实施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256" w:right="0" w:hanging="256" w:hangingChars="10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10/住建部发布行业标准：《园林绿化球根花卉·种球》2019年4月1日起实施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256" w:right="0" w:hanging="256" w:hangingChars="10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11/2019年度江苏省工程建设省级工法申报工作启动 申报时间：2019年7月1日至8月9日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256" w:right="0" w:hanging="256" w:hangingChars="10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12/中国社科院和经济日报社共同发布《2018年中国城市竞争力报告》 无锡蝉联内地宜居城市第一位 南通宜居竞争力有所提升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256" w:right="0" w:hanging="256" w:hangingChars="10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13/资金安全仍是园林企业重中之重 规范地方政府举债融资行为 明确禁止垫资施工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14/雄安新区将建悦容公园 总投资约14.4亿元 总面积约2.16平方公里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15/投标必须核查建造师人数、社保 打击围串标 上海出台12条严规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Theme="minorEastAsia" w:hAnsiTheme="minorEastAsia" w:eastAsiaTheme="minorEastAsia" w:cstheme="minorEastAsia"/>
          <w:b w:val="0"/>
          <w:i w:val="0"/>
          <w:caps w:val="0"/>
          <w:color w:val="333333"/>
          <w:spacing w:val="8"/>
          <w:sz w:val="24"/>
          <w:szCs w:val="24"/>
        </w:rPr>
      </w:pPr>
      <w:r>
        <w:rPr>
          <w:rStyle w:val="6"/>
          <w:rFonts w:hint="eastAsia" w:asciiTheme="minorEastAsia" w:hAnsiTheme="minorEastAsia" w:eastAsiaTheme="minorEastAsia" w:cstheme="minorEastAsia"/>
          <w:i w:val="0"/>
          <w:caps w:val="0"/>
          <w:color w:val="333333"/>
          <w:spacing w:val="8"/>
          <w:sz w:val="24"/>
          <w:szCs w:val="24"/>
          <w:shd w:val="clear" w:fill="FFFFFF"/>
        </w:rPr>
        <w:t>【协会简讯】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16/江苏省风景园林协会 《海绵城市研究》课题取得阶段性成果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Theme="minorEastAsia" w:hAnsiTheme="minorEastAsia" w:eastAsiaTheme="minorEastAsia" w:cstheme="minorEastAsia"/>
          <w:b w:val="0"/>
          <w:i w:val="0"/>
          <w:caps w:val="0"/>
          <w:color w:val="333333"/>
          <w:spacing w:val="8"/>
          <w:sz w:val="24"/>
          <w:szCs w:val="24"/>
          <w:shd w:val="clear" w:fill="FFFFFF"/>
        </w:rPr>
      </w:pPr>
      <w:r>
        <w:rPr>
          <w:rFonts w:hint="eastAsia" w:asciiTheme="minorEastAsia" w:hAnsiTheme="minorEastAsia" w:eastAsiaTheme="minorEastAsia" w:cstheme="minorEastAsia"/>
          <w:b w:val="0"/>
          <w:i w:val="0"/>
          <w:caps w:val="0"/>
          <w:color w:val="333333"/>
          <w:spacing w:val="8"/>
          <w:sz w:val="24"/>
          <w:szCs w:val="24"/>
          <w:shd w:val="clear" w:fill="FFFFFF"/>
        </w:rPr>
        <w:t>17/江苏省风景园林协会  组织会员单位参观、考察北京世园会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b w:val="0"/>
          <w:i w:val="0"/>
          <w:caps w:val="0"/>
          <w:color w:val="333333"/>
          <w:spacing w:val="8"/>
          <w:sz w:val="24"/>
          <w:szCs w:val="24"/>
        </w:rPr>
      </w:pPr>
      <w:r>
        <w:rPr>
          <w:rStyle w:val="6"/>
          <w:rFonts w:hint="eastAsia" w:asciiTheme="minorEastAsia" w:hAnsiTheme="minorEastAsia" w:eastAsiaTheme="minorEastAsia" w:cstheme="minorEastAsia"/>
          <w:i w:val="0"/>
          <w:caps w:val="0"/>
          <w:color w:val="3DA742"/>
          <w:spacing w:val="8"/>
          <w:sz w:val="28"/>
          <w:szCs w:val="28"/>
          <w:shd w:val="clear" w:fill="FFFFFF"/>
        </w:rPr>
        <w:t>习近平绿色箴言妙喻美丽中国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4月28日，国家主席习近平在北京延庆出席2019年中国北京世界园艺博览会开幕式，并发表题为《共谋绿色生活，共建美丽家园》的重要讲话。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习近平指出：“现在，生态文明建设已经纳入中国国家发展总体布局，建设美丽中国已经成为中国人民心向往之的奋斗目标。中国生态文明建设进入了快车道，天更蓝、山更绿、水更清将不断展现在世人面前。”绿色是人类永恒的追求，作为对外开放的最新窗口和平台，北京世界园艺博览会将向世界诠释“美丽中国”的理念，展示当代生态文明建设的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良好生态环境是最普惠的民生福祉。党的十八大以来，在以习近平同志为核心的党中央领导下，我国生态文明建设不断提速，美丽中国迈出坚实步伐。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习近平高度重视生态文明建设，多次在不同场合妙喻绿色发展和美丽中国，向全世界讲述发生在中华大地的绿色传奇。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Style w:val="6"/>
          <w:rFonts w:hint="eastAsia" w:asciiTheme="minorEastAsia" w:hAnsiTheme="minorEastAsia" w:eastAsiaTheme="minorEastAsia" w:cstheme="minorEastAsia"/>
          <w:i w:val="0"/>
          <w:caps w:val="0"/>
          <w:color w:val="333333"/>
          <w:spacing w:val="8"/>
          <w:sz w:val="24"/>
          <w:szCs w:val="24"/>
          <w:shd w:val="clear" w:fill="FFFFFF"/>
        </w:rPr>
        <w:t>眼睛 生命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纵观人类文明发展史，生态兴则文明兴，生态衰则文明衰。杀鸡取卵、竭泽而渔的发展方式走到了尽头，顺应自然、保护生态的绿色发展昭示着未来。地球是全人类赖以生存的唯一家园。我们要像保护自己的眼睛一样保护生态环境，像对待生命一样对待生态环境，同筑生态文明之基，同走绿色发展之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——2019年4月28日，在2019年中国北京世界园艺博览会开幕式上的讲话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Style w:val="6"/>
          <w:rFonts w:hint="eastAsia" w:asciiTheme="minorEastAsia" w:hAnsiTheme="minorEastAsia" w:eastAsiaTheme="minorEastAsia" w:cstheme="minorEastAsia"/>
          <w:i w:val="0"/>
          <w:caps w:val="0"/>
          <w:color w:val="333333"/>
          <w:spacing w:val="8"/>
          <w:sz w:val="24"/>
          <w:szCs w:val="24"/>
          <w:shd w:val="clear" w:fill="FFFFFF"/>
        </w:rPr>
        <w:t>绿水青山 金山银山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要践行绿水青山就是金山银山的理念，推动国土绿化高质量发展，统筹山水林田湖草系统治理，因地制宜深入推进大规模国土绿化行动，持续推进森林城市、森林乡村建设，着力改善人居环境，做到四季常绿、季季有花，发展绿色经济，加强森林管护，推动国土绿化不断取得实实在在的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——2019年4月8日，在参加首都义务植树活动时强调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Style w:val="6"/>
          <w:rFonts w:hint="eastAsia" w:asciiTheme="minorEastAsia" w:hAnsiTheme="minorEastAsia" w:eastAsiaTheme="minorEastAsia" w:cstheme="minorEastAsia"/>
          <w:i w:val="0"/>
          <w:caps w:val="0"/>
          <w:color w:val="333333"/>
          <w:spacing w:val="8"/>
          <w:sz w:val="24"/>
          <w:szCs w:val="24"/>
          <w:shd w:val="clear" w:fill="FFFFFF"/>
        </w:rPr>
        <w:t>分子 分母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污染防治好比是分子，生态保护好比是分母，要对分子做好减法降低污染物排放量，对分母做好加法扩大环境容量，协同发力。要严格管控生态保护红线，实现山水林田湖草系统监管和事前事中事后的全过程监管。要推进城镇留白增绿，使老百姓享有惬意生活休闲空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——2018年5月18日，在全国生态环境保护大会上强调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Style w:val="6"/>
          <w:rFonts w:hint="eastAsia" w:asciiTheme="minorEastAsia" w:hAnsiTheme="minorEastAsia" w:eastAsiaTheme="minorEastAsia" w:cstheme="minorEastAsia"/>
          <w:i w:val="0"/>
          <w:caps w:val="0"/>
          <w:color w:val="333333"/>
          <w:spacing w:val="8"/>
          <w:sz w:val="24"/>
          <w:szCs w:val="24"/>
          <w:shd w:val="clear" w:fill="FFFFFF"/>
        </w:rPr>
        <w:t>药到病除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要针对查找到的各类生态隐患和环境风险，按照山水林田湖草是一个生命共同体的理念，研究提出从源头上系统开展生态环境修复和保护的整体预案和行动方案，然后分类施策、重点突破，通过祛风驱寒、舒筋活血和调理脏腑、通络经脉，力求药到病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——2018年4月26日，在深入推动长江经济带发展座谈会上的讲话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Style w:val="6"/>
          <w:rFonts w:hint="eastAsia" w:asciiTheme="minorEastAsia" w:hAnsiTheme="minorEastAsia" w:eastAsiaTheme="minorEastAsia" w:cstheme="minorEastAsia"/>
          <w:i w:val="0"/>
          <w:caps w:val="0"/>
          <w:color w:val="333333"/>
          <w:spacing w:val="8"/>
          <w:sz w:val="24"/>
          <w:szCs w:val="24"/>
          <w:shd w:val="clear" w:fill="FFFFFF"/>
        </w:rPr>
        <w:t>最大本钱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青山绿水、碧海蓝天是海南最强的优势和最大的本钱，是一笔既买不来也借不到的宝贵财富，破坏了就很难恢复。要把保护生态环境作为海南发展的根本立足点，牢固树立绿水青山就是金山银山的理念，像对待生命一样对待这一片海上绿洲和这一汪湛蓝海水，努力在建设社会主义生态文明方面作出更大成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——2018年4月11日至13日，在海南考察时强调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Style w:val="6"/>
          <w:rFonts w:hint="eastAsia" w:asciiTheme="minorEastAsia" w:hAnsiTheme="minorEastAsia" w:eastAsiaTheme="minorEastAsia" w:cstheme="minorEastAsia"/>
          <w:i w:val="0"/>
          <w:caps w:val="0"/>
          <w:color w:val="333333"/>
          <w:spacing w:val="8"/>
          <w:sz w:val="24"/>
          <w:szCs w:val="24"/>
          <w:shd w:val="clear" w:fill="FFFFFF"/>
        </w:rPr>
        <w:t>一江清水向东流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推进生态环境保护，要坚持保护优先，坚持自然恢复和人工恢复相结合。要从青海实际出发，全面落实主体功能区规划要求，使保障国家生态安全的主体功能全面得到加强。要统筹推进生态工程、节能减排、环境整治、美丽城乡建设，加强自然保护区建设，加强三江源和环青海湖地区生态保护，加强沙漠化防治、高寒草原建设，加强退牧还草、退耕还林还草、三北防护林建设，加强节能减排和环境综合治理，筑牢国家生态安全屏障，坚决守住生态底线，确保“一江清水向东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——2016年8月24日，在青海省考察工作结束时的讲话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Style w:val="6"/>
          <w:rFonts w:hint="eastAsia" w:asciiTheme="minorEastAsia" w:hAnsiTheme="minorEastAsia" w:eastAsiaTheme="minorEastAsia" w:cstheme="minorEastAsia"/>
          <w:i w:val="0"/>
          <w:caps w:val="0"/>
          <w:color w:val="333333"/>
          <w:spacing w:val="8"/>
          <w:sz w:val="24"/>
          <w:szCs w:val="24"/>
          <w:shd w:val="clear" w:fill="FFFFFF"/>
        </w:rPr>
        <w:t>算账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在生态环境保护上一定要算大账、算长远账、算整体账、算综合账，不能因小失大、顾此失彼、寅吃卯粮、急功近利。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——2015年1月19日至21日，在云南考察工作时强调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Style w:val="6"/>
          <w:rFonts w:hint="eastAsia" w:asciiTheme="minorEastAsia" w:hAnsiTheme="minorEastAsia" w:eastAsiaTheme="minorEastAsia" w:cstheme="minorEastAsia"/>
          <w:i w:val="0"/>
          <w:caps w:val="0"/>
          <w:color w:val="333333"/>
          <w:spacing w:val="8"/>
          <w:sz w:val="24"/>
          <w:szCs w:val="24"/>
          <w:shd w:val="clear" w:fill="FFFFFF"/>
        </w:rPr>
        <w:t>命脉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自然界的淡水总量是大体稳定的，但一个国家或区域可用水资源有多少，既取决于降水多寡，也取决于盛水的“盆”大小。山水林田湖是一个生命共同体，形象地讲，人的命脉在田，田的命脉在水，水的命脉在山，山的命脉在土，土的命脉在树。金木水火土，太极生两仪，两仪生四象，四象生八卦，循环不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——2014年3月14日，在中央财经领导小组第五次会议上的讲话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Style w:val="6"/>
          <w:rFonts w:hint="eastAsia" w:asciiTheme="minorEastAsia" w:hAnsiTheme="minorEastAsia" w:eastAsiaTheme="minorEastAsia" w:cstheme="minorEastAsia"/>
          <w:i w:val="0"/>
          <w:caps w:val="0"/>
          <w:color w:val="333333"/>
          <w:spacing w:val="8"/>
          <w:sz w:val="24"/>
          <w:szCs w:val="24"/>
          <w:shd w:val="clear" w:fill="FFFFFF"/>
        </w:rPr>
        <w:t>不搞“奇花异草”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实现绿色发展关键要有平台、技术、手段，绿化只搞“奇花异草”不可持续，盲目引进也不一定适应，要探索一条符合自然规律、符合国情地情的绿化之路。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——2014年1月28日，在内蒙古和信园蒙草抗旱绿化股份有限公司考察时的讲话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Style w:val="6"/>
          <w:rFonts w:hint="eastAsia" w:asciiTheme="minorEastAsia" w:hAnsiTheme="minorEastAsia" w:eastAsiaTheme="minorEastAsia" w:cstheme="minorEastAsia"/>
          <w:i w:val="0"/>
          <w:caps w:val="0"/>
          <w:color w:val="333333"/>
          <w:spacing w:val="8"/>
          <w:sz w:val="24"/>
          <w:szCs w:val="24"/>
          <w:shd w:val="clear" w:fill="FFFFFF"/>
        </w:rPr>
        <w:t>海绵城市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解决城市缺水问题，必须顺应自然。比如，在提升城市排水系统时要优先考虑把有限的雨水留下来，优先考虑更多利用自然力量排水，建设自然积存、自然渗透、自然净化的“海绵城市”。许多城市提出生态城市口号，但思路却是大树进城、开山造地、人造景观、填湖填海等。这不是建设生态文明，而是破坏自然生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——2013年12月12日至13日，在中央城镇化工作会议上发表讲话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绿色银行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希望海南处理好发展和保护的关系，着力在“增绿”、“护蓝”上下功夫，为全国生态文明建设当个表率，为子孙后代留下可持续发展的“绿色银行”。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Theme="minorEastAsia" w:hAnsiTheme="minorEastAsia" w:eastAsiaTheme="minorEastAsia" w:cstheme="minorEastAsia"/>
          <w:b w:val="0"/>
          <w:i w:val="0"/>
          <w:caps w:val="0"/>
          <w:color w:val="333333"/>
          <w:spacing w:val="8"/>
          <w:sz w:val="28"/>
          <w:szCs w:val="28"/>
        </w:rPr>
      </w:pPr>
      <w:r>
        <w:rPr>
          <w:rStyle w:val="6"/>
          <w:rFonts w:hint="eastAsia" w:asciiTheme="minorEastAsia" w:hAnsiTheme="minorEastAsia" w:eastAsiaTheme="minorEastAsia" w:cstheme="minorEastAsia"/>
          <w:i w:val="0"/>
          <w:caps w:val="0"/>
          <w:color w:val="3DA742"/>
          <w:spacing w:val="8"/>
          <w:sz w:val="28"/>
          <w:szCs w:val="28"/>
          <w:shd w:val="clear" w:fill="FFFFFF"/>
        </w:rPr>
        <w:t>《政府投资条例》自2019年7月1日起施行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Theme="minorEastAsia" w:hAnsiTheme="minorEastAsia" w:eastAsiaTheme="minorEastAsia" w:cstheme="minorEastAsia"/>
          <w:b w:val="0"/>
          <w:i w:val="0"/>
          <w:caps w:val="0"/>
          <w:color w:val="333333"/>
          <w:spacing w:val="8"/>
          <w:sz w:val="24"/>
          <w:szCs w:val="24"/>
        </w:rPr>
      </w:pPr>
      <w:r>
        <w:rPr>
          <w:rStyle w:val="6"/>
          <w:rFonts w:hint="eastAsia" w:asciiTheme="minorEastAsia" w:hAnsiTheme="minorEastAsia" w:eastAsiaTheme="minorEastAsia" w:cstheme="minorEastAsia"/>
          <w:i w:val="0"/>
          <w:caps w:val="0"/>
          <w:color w:val="3DA742"/>
          <w:spacing w:val="8"/>
          <w:sz w:val="28"/>
          <w:szCs w:val="28"/>
          <w:shd w:val="clear" w:fill="FFFFFF"/>
        </w:rPr>
        <w:t>明确禁止垫资行为 实行垫资的EPC模式受到限制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步子越大，摔得越狠。这就是过去一年园林施工企业的真实写照，特别是上市企业，有的市值跌去了70%以上。其中很大一个原因，就是工程拖欠款，造成企业资金链紧张或断裂。工程拖欠款不解决，园林行业很难健康持续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可喜的是，《政府投资条例》已经2018年12月5日国务院第33次常务会议通过，现予公布，自2019年7月1日起施行。（2019年5月6日《中国政府网》发布）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历经9年出台的《政府投资条例》（以下简称《条例》）被很多人士解读为解决工程拖欠款的灵丹，对园林行业是个利好。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《条例》核心可以概括为两个为主、三个不得。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两个为主：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要求在投资方向和资金安排的导向性上，一是明确投向公共领域的项目，以非经营性项目为主；二是资金按项目安排，以直接投资方式为主。政府投资资金应当投向市场不能有效配置的资源社会公益服务、公共基础设施、农业农村、生态环境保护、重大科技进步、社会管理、国家安全等公共领域的项目，以非经营性项目为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三个不得：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为防控地方债务风险，《条例》中有三个不得，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一是政府及其有关部门不得违法违规举借债务筹措政府投资资金；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二是政府投资项目不得由施工单位垫资建设；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三是政府投资项目建设投资原则上不得超过经核定的投资概算。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国家发改委投资研究所体制研究室主任吴亚平表示，将政府投资决策、管理和监督等行为纳入法治化、规范化轨道，使得政府投融资行为有法可依、有法必依，是深化投融资体制改革的重要举措，加上此前已出台的企业投资项目的核准和备案条例，全社会投资管理和监管都纳入了依法治理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《条例》的实施，对政府投资项目及PPP都会有深远影响，形成基础设施领域投融资的新格局。近年来，很多园林企业参与到生态环境建设、乡村振兴工程等之中，《条例》的出台，对园林行业是积极的利好。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PPP项目是近几年也将是今后几年的重要市场，在过去PPP发展的过程中，有部分地方政府存在着急上项目、前期工作粗糙、忽视财政风险、轻视合同与流程等诸多问题，也有出现拖欠付费和补贴甚至违约的现象。有家园林上市企业2017年在贵州1.6亿元的项目，目前仅收到200万元工程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此外，政府投资项目缺乏专项建设规划，并且项目前期研究深度不足，导致在某些部门、某些区域，政府投资的实际运作存在超预算的现象，进而对财政存量形成挤压。为此，《条例》对症下药：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一是明确投资方向，为非营利性项目；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二是确定资金来源，要求政府投资应当与经济社会发展水平和财政收支状况相适应。要加强对政府投资资金的预算约束。政府及其有关部门不得违法违规举借债务筹措政府投资资金；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三是统一审批程序，明确了政府投资项目的决策和审批程序，强调了概算约束指标，超估算10%，相关部门可以要求项目单位重新提交可研报告。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四是规范项目资金，明确禁止垫资行为。现在一些园林企业实行垫资的EPC模式，也将受到限制。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五是强调事后监督，引入第三方评价机构评估政府投资项目。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并明确提出，政府及其有关部门违法违规举借债务筹措政府投资资金；未按照规定及时、足额办理政府投资资金拨付；转移、侵占、挪用政府投资资金等行为，将要被追究法律责任。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shd w:val="clear" w:fill="FFFFFF"/>
        </w:rPr>
      </w:pPr>
      <w:r>
        <w:rPr>
          <w:rFonts w:hint="eastAsia" w:asciiTheme="minorEastAsia" w:hAnsiTheme="minorEastAsia" w:eastAsiaTheme="minorEastAsia" w:cstheme="minorEastAsia"/>
          <w:b w:val="0"/>
          <w:i w:val="0"/>
          <w:caps w:val="0"/>
          <w:color w:val="333333"/>
          <w:spacing w:val="8"/>
          <w:sz w:val="24"/>
          <w:szCs w:val="24"/>
          <w:shd w:val="clear" w:fill="FFFFFF"/>
        </w:rPr>
        <w:t>业内人士评价《条例》对园林企业是很大的利好。一方面是能够尽快解决行业通病，即应收账款的回款问题；另一方面对后期企业现金流、整体的资金回转运作都会有良性的影响和促进作用。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Theme="minorEastAsia" w:hAnsiTheme="minorEastAsia" w:eastAsiaTheme="minorEastAsia" w:cstheme="minorEastAsia"/>
          <w:b w:val="0"/>
          <w:i w:val="0"/>
          <w:caps w:val="0"/>
          <w:color w:val="333333"/>
          <w:spacing w:val="8"/>
          <w:sz w:val="28"/>
          <w:szCs w:val="28"/>
        </w:rPr>
      </w:pPr>
      <w:r>
        <w:rPr>
          <w:rStyle w:val="6"/>
          <w:rFonts w:hint="eastAsia" w:asciiTheme="minorEastAsia" w:hAnsiTheme="minorEastAsia" w:eastAsiaTheme="minorEastAsia" w:cstheme="minorEastAsia"/>
          <w:b/>
          <w:i w:val="0"/>
          <w:caps w:val="0"/>
          <w:color w:val="3DA742"/>
          <w:spacing w:val="15"/>
          <w:sz w:val="28"/>
          <w:szCs w:val="28"/>
          <w:shd w:val="clear" w:fill="FFFFFF"/>
        </w:rPr>
        <w:t>国家标准《海绵城市建设评价标准》发布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为规范海绵城市建设效果评价，近日，住房城乡建设部发布国家标准《海绵城市建设评价标准》，对海绵城市建设的评价内容、评价方法等作了规定。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《海绵城市建设评价标准》目次：1总则；2术语；3基本规定；4评价内容；5评价方法（5.1 雨水年径流总量控制率及其径流体积(海绵体)控制、5.2 路面积水控制与内涝防治、5.3 城市水体环境质量、5.4 项目实施有效性、5.5 自然生态格局管控与水体生态岸线保护、5.6 地下水埋深变化趋势、5.7 城市热岛效应缓解）。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附录 雨水年径流总量控制率与降雨深度的关系及其应用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海绵城市建设的技术路线与方法：技术路线由传统的“末端治理”转为“源头减排、过程控制、系统治理”；管控方法由传统的“快排”转为“渗、滞、蓄、净、用、排”，通过控制雨水的径流冲击负荷和污染负荷等，实现海绵城市建设的综合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传统做法过度依靠管网进行排水，切断了雨水的径流过程，使城市下垫面对雨水径流的滞蓄、渗透和净化的功能丧失，自然的海绵体功能消失。海绵城市建设改变了传统的技术路线和方法，充分发挥自然下垫面海绵体功能，既能缓解生态、环境、资源的压力，又能通过灰绿结合，降低工程造价和运维成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具体评价内容：海绵城市建设效果从项目建设与实施的有效性、能否实现海绵效应等方面进行评价，具体评价内容及其评价要求见“海绵城市建设评价内容与要求（略）”。其中：“地下水埋深变化趋势”、“城市热岛效应缓解”为考察内容，其他为考核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海绵城市建设效果的评价原则和评价结果：海绵城市建设效果评价应遵循目标与问题导向相结合的原则，分别对项目实施有效性、排水或汇水分区及城市整体海绵效应进行评价，按排水或汇水分区为单元统计，以达到本《标准》要求的城市建成区面积占城市建成区总面积的比例作为评价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Theme="minorEastAsia" w:hAnsiTheme="minorEastAsia" w:eastAsiaTheme="minorEastAsia" w:cstheme="minorEastAsia"/>
          <w:b w:val="0"/>
          <w:i w:val="0"/>
          <w:caps w:val="0"/>
          <w:color w:val="333333"/>
          <w:spacing w:val="8"/>
          <w:sz w:val="28"/>
          <w:szCs w:val="28"/>
        </w:rPr>
      </w:pPr>
      <w:r>
        <w:rPr>
          <w:rStyle w:val="6"/>
          <w:rFonts w:hint="eastAsia" w:asciiTheme="minorEastAsia" w:hAnsiTheme="minorEastAsia" w:eastAsiaTheme="minorEastAsia" w:cstheme="minorEastAsia"/>
          <w:i w:val="0"/>
          <w:caps w:val="0"/>
          <w:color w:val="3DA742"/>
          <w:spacing w:val="8"/>
          <w:sz w:val="28"/>
          <w:szCs w:val="28"/>
          <w:shd w:val="clear" w:fill="FFFFFF"/>
        </w:rPr>
        <w:t>国家发改委联合住建部印发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Theme="minorEastAsia" w:hAnsiTheme="minorEastAsia" w:eastAsiaTheme="minorEastAsia" w:cstheme="minorEastAsia"/>
          <w:b w:val="0"/>
          <w:i w:val="0"/>
          <w:caps w:val="0"/>
          <w:color w:val="333333"/>
          <w:spacing w:val="8"/>
          <w:sz w:val="28"/>
          <w:szCs w:val="28"/>
        </w:rPr>
      </w:pPr>
      <w:r>
        <w:rPr>
          <w:rStyle w:val="6"/>
          <w:rFonts w:hint="eastAsia" w:asciiTheme="minorEastAsia" w:hAnsiTheme="minorEastAsia" w:eastAsiaTheme="minorEastAsia" w:cstheme="minorEastAsia"/>
          <w:i w:val="0"/>
          <w:caps w:val="0"/>
          <w:color w:val="3DA742"/>
          <w:spacing w:val="8"/>
          <w:sz w:val="28"/>
          <w:szCs w:val="28"/>
          <w:shd w:val="clear" w:fill="FFFFFF"/>
        </w:rPr>
        <w:t>《关于推进全过程工程咨询服务发展的指导意见》</w:t>
      </w:r>
      <w:r>
        <w:rPr>
          <w:rStyle w:val="6"/>
          <w:rFonts w:hint="eastAsia" w:asciiTheme="minorEastAsia" w:hAnsiTheme="minorEastAsia" w:eastAsiaTheme="minorEastAsia" w:cstheme="minorEastAsia"/>
          <w:i w:val="0"/>
          <w:caps w:val="0"/>
          <w:color w:val="333333"/>
          <w:spacing w:val="8"/>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近日，国家发改委、住建部联合印发《关于推进全过程工程咨询服务发展的指导意见》（发改投资规〔2019〕515号，以下简称《指导意见》），在房屋建筑和市政基础设施领域推进全过程工程咨询服务发展，提升固定资产投资决策科学化水平，进一步完善工程建设组织模式，推动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指导意见》指出，改革开放以来，我国工程咨询服务市场化、专业化快速发展，形成了投资咨询、招标代理、勘察、设计、监理、造价、项目管理等咨询服务业态。随着我国固定资产投资项目建设水平逐步提高，为更好地实现投资建设意图，投资者或建设单位在固定资产投资项目决策、工程建设、项目运营过程中，对综合性、跨阶段、一体化的咨询服务需求日益增强。这种需求与现行制度造成的单项服务供给模式之间的矛盾日益突出。因此，有必要创新咨询服务组织实施方式，大力发展以市场需求为导向、满足委托方多样化需求的全过程工程咨询服务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《指导意见》从鼓励发展多种形式全过程工程咨询、重点培育全过程工程咨询模式、优化市场环境、强化保障措施等方面提出一系列政策措施。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一是明确了培育发展全过程工程咨询的两个着力点。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二是明确了投资决策综合性咨询的内容和方式。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三是明确了工程建设全过程咨询的内容和条件。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四是明确了全过程工程咨询服务酬金计取方式。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此外，《指导意见》明确了推进全过程工程咨询服务发展的部门职责分工，以及加强政府监管和行业自律的措施，确保全过程工程咨询服务持续健康发展。</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Theme="minorEastAsia" w:hAnsiTheme="minorEastAsia" w:eastAsiaTheme="minorEastAsia" w:cstheme="minorEastAsia"/>
          <w:b w:val="0"/>
          <w:i w:val="0"/>
          <w:caps w:val="0"/>
          <w:color w:val="333333"/>
          <w:spacing w:val="8"/>
          <w:sz w:val="28"/>
          <w:szCs w:val="28"/>
        </w:rPr>
      </w:pPr>
      <w:r>
        <w:rPr>
          <w:rStyle w:val="6"/>
          <w:rFonts w:hint="eastAsia" w:asciiTheme="minorEastAsia" w:hAnsiTheme="minorEastAsia" w:eastAsiaTheme="minorEastAsia" w:cstheme="minorEastAsia"/>
          <w:i w:val="0"/>
          <w:caps w:val="0"/>
          <w:color w:val="3DA742"/>
          <w:spacing w:val="8"/>
          <w:sz w:val="28"/>
          <w:szCs w:val="28"/>
          <w:shd w:val="clear" w:fill="FFFFFF"/>
        </w:rPr>
        <w:t>国家发改委正研究特色小镇标准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Theme="minorEastAsia" w:hAnsiTheme="minorEastAsia" w:eastAsiaTheme="minorEastAsia" w:cstheme="minorEastAsia"/>
          <w:b w:val="0"/>
          <w:i w:val="0"/>
          <w:caps w:val="0"/>
          <w:color w:val="333333"/>
          <w:spacing w:val="8"/>
          <w:sz w:val="28"/>
          <w:szCs w:val="28"/>
        </w:rPr>
      </w:pPr>
      <w:r>
        <w:rPr>
          <w:rStyle w:val="6"/>
          <w:rFonts w:hint="eastAsia" w:asciiTheme="minorEastAsia" w:hAnsiTheme="minorEastAsia" w:eastAsiaTheme="minorEastAsia" w:cstheme="minorEastAsia"/>
          <w:i w:val="0"/>
          <w:caps w:val="0"/>
          <w:color w:val="3DA742"/>
          <w:spacing w:val="8"/>
          <w:sz w:val="28"/>
          <w:szCs w:val="28"/>
          <w:shd w:val="clear" w:fill="FFFFFF"/>
        </w:rPr>
        <w:t>防止“一哄而上”转为“一哄而散”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6月22日，在2019年全国企业家活动日暨中国企业家年会上，国家发改委规划司城乡融合发展处处长刘春雨指出，下一步将研究制定有利于引导特色小镇发展规范化的标准和地方标准，为创建更多的精品小镇，产生更多的典型经验提供制度土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对特色小镇的一些不符合规范的问题进行纠偏，这样做是为了防止这些特色小镇从三年前一哄而上的过热态势又一下转变成未来一哄而散的过冷的态势。此前国家发改委在2018年印发了《关于建立特色小镇和特色小城镇高质量发展机制的通知》（发改办规划〔2018〕1041号）文件，提出特色小镇要严控房地产化倾向、严防政府债务风险为底线，加快建立特色小镇和特色小城镇高质量发展机制，释放城乡融合发展和内需增长新空间，促进经济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下一阶段，国家发改委将深入贯彻中央的决策部署，组织好各地区各部门严格落实特色小镇相关的政策性文件，高质量的推进特色小镇的建设。为此，国家发改委将继续加强统筹协调和督促指导，推动各地区各有关部门开展这项工作。各地各有关部门要强化规范和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要压实各级的责任。省级负责省级特色小镇的支持与规范，省级政府要建立一个部门协同机制。在之前有些省各自为政的现象比较突出，所以省级政府要组织好，由省发改委来牵头组织，统一行动，统一指挥，统筹好先进制造、农业、能源、信息、科创、文旅体育等等小镇的发展，避免行业主管部门各自为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从市县层面来看，要把企业作为特色小镇发展的主力军，可以引入央企，也可以使用国企，鼓励引入大型民企建设，这样企业就可以扩大有效投资，把特色小镇特征特色更多彰显。另外一个方面，地方政府还要解决概念泛发问题，防止把不符合内涵标准的项目冠名为特色小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8"/>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目前国家发改委正在研究制定有利于引导特色小镇发展规范化的标准和地方标准，为创建更多的精品小镇，产生更多的典型经验提供制度土壤。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Theme="minorEastAsia" w:hAnsiTheme="minorEastAsia" w:eastAsiaTheme="minorEastAsia" w:cstheme="minorEastAsia"/>
          <w:b w:val="0"/>
          <w:i w:val="0"/>
          <w:caps w:val="0"/>
          <w:color w:val="333333"/>
          <w:spacing w:val="8"/>
          <w:sz w:val="28"/>
          <w:szCs w:val="28"/>
        </w:rPr>
      </w:pPr>
      <w:r>
        <w:rPr>
          <w:rStyle w:val="6"/>
          <w:rFonts w:hint="eastAsia" w:asciiTheme="minorEastAsia" w:hAnsiTheme="minorEastAsia" w:eastAsiaTheme="minorEastAsia" w:cstheme="minorEastAsia"/>
          <w:i w:val="0"/>
          <w:caps w:val="0"/>
          <w:color w:val="3DA742"/>
          <w:spacing w:val="8"/>
          <w:sz w:val="28"/>
          <w:szCs w:val="28"/>
          <w:shd w:val="clear" w:fill="FFFFFF"/>
        </w:rPr>
        <w:t>住房城乡建设部发布行业标准：《园林绿化养护标准》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Theme="minorEastAsia" w:hAnsiTheme="minorEastAsia" w:eastAsiaTheme="minorEastAsia" w:cstheme="minorEastAsia"/>
          <w:b w:val="0"/>
          <w:i w:val="0"/>
          <w:caps w:val="0"/>
          <w:color w:val="333333"/>
          <w:spacing w:val="8"/>
          <w:sz w:val="28"/>
          <w:szCs w:val="28"/>
        </w:rPr>
      </w:pPr>
      <w:r>
        <w:rPr>
          <w:rStyle w:val="6"/>
          <w:rFonts w:hint="eastAsia" w:asciiTheme="minorEastAsia" w:hAnsiTheme="minorEastAsia" w:eastAsiaTheme="minorEastAsia" w:cstheme="minorEastAsia"/>
          <w:i w:val="0"/>
          <w:caps w:val="0"/>
          <w:color w:val="3DA742"/>
          <w:spacing w:val="8"/>
          <w:sz w:val="28"/>
          <w:szCs w:val="28"/>
          <w:shd w:val="clear" w:fill="FFFFFF"/>
        </w:rPr>
        <w:t>自2019年4月1日起生效</w:t>
      </w:r>
      <w:r>
        <w:rPr>
          <w:rStyle w:val="6"/>
          <w:rFonts w:hint="eastAsia" w:asciiTheme="minorEastAsia" w:hAnsiTheme="minorEastAsia" w:eastAsiaTheme="minorEastAsia" w:cstheme="minorEastAsia"/>
          <w:i w:val="0"/>
          <w:caps w:val="0"/>
          <w:color w:val="333333"/>
          <w:spacing w:val="8"/>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近期，住房城乡建设部发布行业标准《园林绿化球根花卉·种球》的公告（2018年第268号）。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《公告》称：现批准《园林绿化养护标准》为行业标准，编号为CJJ/T287-2018，自2019年4月1日起生效。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本标准在住房城乡建设部门户网站（www.mohurd.gov.cn）公开，并由住房城乡建设部标准定额研究所组织中国标准出版社出版发行。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ascii="宋体" w:hAnsi="宋体" w:eastAsia="宋体" w:cs="宋体"/>
          <w:color w:val="FFFFFF"/>
          <w:kern w:val="0"/>
          <w:sz w:val="24"/>
          <w:szCs w:val="24"/>
          <w:lang w:val="en-US" w:eastAsia="zh-CN" w:bidi="ar"/>
        </w:rPr>
        <w:t>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6"/>
          <w:rFonts w:hint="eastAsia" w:asciiTheme="minorEastAsia" w:hAnsiTheme="minorEastAsia" w:eastAsiaTheme="minorEastAsia" w:cstheme="minorEastAsia"/>
          <w:i w:val="0"/>
          <w:caps w:val="0"/>
          <w:color w:val="3DA742"/>
          <w:spacing w:val="8"/>
          <w:sz w:val="28"/>
          <w:szCs w:val="28"/>
          <w:shd w:val="clear" w:fill="FFFFFF"/>
        </w:rPr>
      </w:pPr>
      <w:r>
        <w:rPr>
          <w:rStyle w:val="6"/>
          <w:rFonts w:hint="eastAsia" w:asciiTheme="minorEastAsia" w:hAnsiTheme="minorEastAsia" w:eastAsiaTheme="minorEastAsia" w:cstheme="minorEastAsia"/>
          <w:i w:val="0"/>
          <w:caps w:val="0"/>
          <w:color w:val="3DA742"/>
          <w:spacing w:val="8"/>
          <w:sz w:val="28"/>
          <w:szCs w:val="28"/>
          <w:shd w:val="clear" w:fill="FFFFFF"/>
        </w:rPr>
        <w:t>住房城乡建设部发布行业标准：《园林绿化木本苗》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Theme="minorEastAsia" w:hAnsiTheme="minorEastAsia" w:eastAsiaTheme="minorEastAsia" w:cstheme="minorEastAsia"/>
          <w:b w:val="0"/>
          <w:i w:val="0"/>
          <w:caps w:val="0"/>
          <w:color w:val="333333"/>
          <w:spacing w:val="8"/>
          <w:sz w:val="28"/>
          <w:szCs w:val="28"/>
        </w:rPr>
      </w:pPr>
      <w:r>
        <w:rPr>
          <w:rStyle w:val="6"/>
          <w:rFonts w:hint="eastAsia" w:asciiTheme="minorEastAsia" w:hAnsiTheme="minorEastAsia" w:eastAsiaTheme="minorEastAsia" w:cstheme="minorEastAsia"/>
          <w:i w:val="0"/>
          <w:caps w:val="0"/>
          <w:color w:val="3DA742"/>
          <w:spacing w:val="8"/>
          <w:sz w:val="28"/>
          <w:szCs w:val="28"/>
          <w:shd w:val="clear" w:fill="FFFFFF"/>
        </w:rPr>
        <w:t>2019年5月1日起实施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近期，住房城乡建设部发布行业标准《园林绿化木本苗》的公告（2018年第239号）。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《公告》称：《园林绿化木本苗》为城镇建设行业产品标准，编号为CJ/T24-2018，自2019年5月1日起实施。原《城市绿化和园林绿地用植物材料·木本苗》（CJ/T24-1999）同时废止。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本标准在住房城乡建设部门户网站（www.mohurd.gov.cn）公开，并由住房城乡建设部标准定额研究所组织中国标准出版社出版发行。</w:t>
      </w:r>
      <w:r>
        <w:rPr>
          <w:rFonts w:hint="default" w:ascii="楷体_GB2312" w:hAnsi="微软雅黑" w:eastAsia="楷体_GB2312" w:cs="楷体_GB2312"/>
          <w:b w:val="0"/>
          <w:i w:val="0"/>
          <w:caps w:val="0"/>
          <w:color w:val="333333"/>
          <w:spacing w:val="8"/>
          <w:sz w:val="25"/>
          <w:szCs w:val="25"/>
          <w:shd w:val="clear" w:fill="FFFFFF"/>
        </w:rPr>
        <w:t>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ascii="宋体" w:hAnsi="宋体" w:eastAsia="宋体" w:cs="宋体"/>
          <w:color w:val="FFFFFF"/>
          <w:kern w:val="0"/>
          <w:sz w:val="24"/>
          <w:szCs w:val="24"/>
          <w:lang w:val="en-US" w:eastAsia="zh-CN" w:bidi="ar"/>
        </w:rPr>
        <w:t>08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Theme="minorEastAsia" w:hAnsiTheme="minorEastAsia" w:eastAsiaTheme="minorEastAsia" w:cstheme="minorEastAsia"/>
          <w:b w:val="0"/>
          <w:i w:val="0"/>
          <w:caps w:val="0"/>
          <w:color w:val="333333"/>
          <w:spacing w:val="8"/>
          <w:sz w:val="28"/>
          <w:szCs w:val="28"/>
        </w:rPr>
      </w:pPr>
      <w:r>
        <w:rPr>
          <w:rStyle w:val="6"/>
          <w:rFonts w:hint="eastAsia" w:asciiTheme="minorEastAsia" w:hAnsiTheme="minorEastAsia" w:eastAsiaTheme="minorEastAsia" w:cstheme="minorEastAsia"/>
          <w:i w:val="0"/>
          <w:caps w:val="0"/>
          <w:color w:val="3DA742"/>
          <w:spacing w:val="8"/>
          <w:sz w:val="28"/>
          <w:szCs w:val="28"/>
          <w:shd w:val="clear" w:fill="FFFFFF"/>
          <w:lang w:val="en-US" w:eastAsia="zh-CN"/>
        </w:rPr>
        <w:t xml:space="preserve"> </w:t>
      </w:r>
      <w:r>
        <w:rPr>
          <w:rStyle w:val="6"/>
          <w:rFonts w:hint="eastAsia" w:asciiTheme="minorEastAsia" w:hAnsiTheme="minorEastAsia" w:eastAsiaTheme="minorEastAsia" w:cstheme="minorEastAsia"/>
          <w:i w:val="0"/>
          <w:caps w:val="0"/>
          <w:color w:val="3DA742"/>
          <w:spacing w:val="8"/>
          <w:sz w:val="28"/>
          <w:szCs w:val="28"/>
          <w:shd w:val="clear" w:fill="FFFFFF"/>
        </w:rPr>
        <w:t>住房城乡建设部发布行业标准：《边坡喷播绿化工程技术标准》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Theme="minorEastAsia" w:hAnsiTheme="minorEastAsia" w:eastAsiaTheme="minorEastAsia" w:cstheme="minorEastAsia"/>
          <w:b w:val="0"/>
          <w:i w:val="0"/>
          <w:caps w:val="0"/>
          <w:color w:val="333333"/>
          <w:spacing w:val="8"/>
          <w:sz w:val="28"/>
          <w:szCs w:val="28"/>
        </w:rPr>
      </w:pPr>
      <w:r>
        <w:rPr>
          <w:rStyle w:val="6"/>
          <w:rFonts w:hint="eastAsia" w:asciiTheme="minorEastAsia" w:hAnsiTheme="minorEastAsia" w:eastAsiaTheme="minorEastAsia" w:cstheme="minorEastAsia"/>
          <w:i w:val="0"/>
          <w:caps w:val="0"/>
          <w:color w:val="3DA742"/>
          <w:spacing w:val="8"/>
          <w:sz w:val="28"/>
          <w:szCs w:val="28"/>
          <w:shd w:val="clear" w:fill="FFFFFF"/>
        </w:rPr>
        <w:t>2019年4月1日起实施</w:t>
      </w:r>
      <w:r>
        <w:rPr>
          <w:rStyle w:val="6"/>
          <w:rFonts w:hint="eastAsia" w:asciiTheme="minorEastAsia" w:hAnsiTheme="minorEastAsia" w:eastAsiaTheme="minorEastAsia" w:cstheme="minorEastAsia"/>
          <w:i w:val="0"/>
          <w:caps w:val="0"/>
          <w:color w:val="333333"/>
          <w:spacing w:val="8"/>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近期，住房城乡建设部发布行业标准《边坡喷播绿化工程技术标准》的公告（2018年第271号）。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《公告》称：现批准《边坡喷播绿化工程技术标准》为行业标准，编号为CJJ/T292-2018，自2019年4月1日起实施。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本标准在住房城乡建设部门户网站（www.mohurd.gov.cn）公开，并由住房城乡建设部标准定额研究所组织中国标准出版社出版发行。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ascii="宋体" w:hAnsi="宋体" w:eastAsia="宋体" w:cs="宋体"/>
          <w:color w:val="FFFFFF"/>
          <w:kern w:val="0"/>
          <w:sz w:val="24"/>
          <w:szCs w:val="24"/>
          <w:lang w:val="en-US" w:eastAsia="zh-CN" w:bidi="ar"/>
        </w:rPr>
        <w:t>09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6"/>
          <w:rFonts w:hint="eastAsia" w:asciiTheme="minorEastAsia" w:hAnsiTheme="minorEastAsia" w:eastAsiaTheme="minorEastAsia" w:cstheme="minorEastAsia"/>
          <w:i w:val="0"/>
          <w:caps w:val="0"/>
          <w:color w:val="3DA742"/>
          <w:spacing w:val="8"/>
          <w:sz w:val="28"/>
          <w:szCs w:val="28"/>
          <w:shd w:val="clear" w:fill="FFFFFF"/>
        </w:rPr>
      </w:pPr>
      <w:r>
        <w:rPr>
          <w:rStyle w:val="6"/>
          <w:rFonts w:hint="eastAsia" w:asciiTheme="minorEastAsia" w:hAnsiTheme="minorEastAsia" w:eastAsiaTheme="minorEastAsia" w:cstheme="minorEastAsia"/>
          <w:i w:val="0"/>
          <w:caps w:val="0"/>
          <w:color w:val="3DA742"/>
          <w:spacing w:val="8"/>
          <w:sz w:val="28"/>
          <w:szCs w:val="28"/>
          <w:shd w:val="clear" w:fill="FFFFFF"/>
        </w:rPr>
        <w:t>住房城乡建设部发布行业标准：</w:t>
      </w:r>
      <w:r>
        <w:rPr>
          <w:rStyle w:val="6"/>
          <w:rFonts w:hint="eastAsia" w:asciiTheme="minorEastAsia" w:hAnsiTheme="minorEastAsia" w:eastAsiaTheme="minorEastAsia" w:cstheme="minorEastAsia"/>
          <w:i w:val="0"/>
          <w:caps w:val="0"/>
          <w:color w:val="3DA742"/>
          <w:spacing w:val="8"/>
          <w:sz w:val="28"/>
          <w:szCs w:val="28"/>
          <w:shd w:val="clear" w:fill="FFFFFF"/>
          <w:lang w:val="en-US" w:eastAsia="zh-CN"/>
        </w:rPr>
        <w:t xml:space="preserve"> </w:t>
      </w:r>
      <w:r>
        <w:rPr>
          <w:rStyle w:val="6"/>
          <w:rFonts w:hint="eastAsia" w:asciiTheme="minorEastAsia" w:hAnsiTheme="minorEastAsia" w:eastAsiaTheme="minorEastAsia" w:cstheme="minorEastAsia"/>
          <w:i w:val="0"/>
          <w:caps w:val="0"/>
          <w:color w:val="3DA742"/>
          <w:spacing w:val="8"/>
          <w:sz w:val="28"/>
          <w:szCs w:val="28"/>
          <w:shd w:val="clear" w:fill="FFFFFF"/>
        </w:rPr>
        <w:t>《园林绿化工程盐碱地改良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Theme="minorEastAsia" w:hAnsiTheme="minorEastAsia" w:eastAsiaTheme="minorEastAsia" w:cstheme="minorEastAsia"/>
          <w:b w:val="0"/>
          <w:i w:val="0"/>
          <w:caps w:val="0"/>
          <w:color w:val="333333"/>
          <w:spacing w:val="8"/>
          <w:sz w:val="28"/>
          <w:szCs w:val="28"/>
        </w:rPr>
      </w:pPr>
      <w:r>
        <w:rPr>
          <w:rStyle w:val="6"/>
          <w:rFonts w:hint="eastAsia" w:asciiTheme="minorEastAsia" w:hAnsiTheme="minorEastAsia" w:eastAsiaTheme="minorEastAsia" w:cstheme="minorEastAsia"/>
          <w:i w:val="0"/>
          <w:caps w:val="0"/>
          <w:color w:val="3DA742"/>
          <w:spacing w:val="8"/>
          <w:sz w:val="28"/>
          <w:szCs w:val="28"/>
          <w:shd w:val="clear" w:fill="FFFFFF"/>
        </w:rPr>
        <w:t>技术标准》</w:t>
      </w:r>
      <w:r>
        <w:rPr>
          <w:rStyle w:val="6"/>
          <w:rFonts w:hint="eastAsia" w:asciiTheme="minorEastAsia" w:hAnsiTheme="minorEastAsia" w:eastAsiaTheme="minorEastAsia" w:cstheme="minorEastAsia"/>
          <w:i w:val="0"/>
          <w:caps w:val="0"/>
          <w:color w:val="3DA742"/>
          <w:spacing w:val="8"/>
          <w:sz w:val="28"/>
          <w:szCs w:val="28"/>
          <w:shd w:val="clear" w:fill="FFFFFF"/>
          <w:lang w:val="en-US" w:eastAsia="zh-CN"/>
        </w:rPr>
        <w:t xml:space="preserve"> </w:t>
      </w:r>
      <w:r>
        <w:rPr>
          <w:rStyle w:val="6"/>
          <w:rFonts w:hint="eastAsia" w:asciiTheme="minorEastAsia" w:hAnsiTheme="minorEastAsia" w:eastAsiaTheme="minorEastAsia" w:cstheme="minorEastAsia"/>
          <w:i w:val="0"/>
          <w:caps w:val="0"/>
          <w:color w:val="3DA742"/>
          <w:spacing w:val="8"/>
          <w:sz w:val="28"/>
          <w:szCs w:val="28"/>
          <w:shd w:val="clear" w:fill="FFFFFF"/>
        </w:rPr>
        <w:t>2019年4月1日起实施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近期，住房城乡建设部发布行业标准《园林绿化工程盐碱地改良技术标准》的公告（2018年第267号）。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《公告》称：现批准《园林绿化工程盐碱地改良技术标准》为行业标准，编号为CJJ/T283-2018，自2019年4月1日起实施。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本标准在住房城乡建设部门户网站（www.mohurd.gov.cn）公开，并由住房城乡建设部标准定额研究所组织中国标准出版社出版发行。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297" w:firstLineChars="100"/>
        <w:jc w:val="both"/>
        <w:textAlignment w:val="auto"/>
        <w:rPr>
          <w:rFonts w:hint="eastAsia" w:asciiTheme="minorEastAsia" w:hAnsiTheme="minorEastAsia" w:eastAsiaTheme="minorEastAsia" w:cstheme="minorEastAsia"/>
          <w:b w:val="0"/>
          <w:i w:val="0"/>
          <w:caps w:val="0"/>
          <w:color w:val="333333"/>
          <w:spacing w:val="8"/>
          <w:sz w:val="28"/>
          <w:szCs w:val="28"/>
        </w:rPr>
      </w:pPr>
      <w:r>
        <w:rPr>
          <w:rStyle w:val="6"/>
          <w:rFonts w:hint="eastAsia" w:asciiTheme="minorEastAsia" w:hAnsiTheme="minorEastAsia" w:eastAsiaTheme="minorEastAsia" w:cstheme="minorEastAsia"/>
          <w:i w:val="0"/>
          <w:caps w:val="0"/>
          <w:color w:val="3DA742"/>
          <w:spacing w:val="8"/>
          <w:sz w:val="28"/>
          <w:szCs w:val="28"/>
          <w:shd w:val="clear" w:fill="FFFFFF"/>
        </w:rPr>
        <w:t>住房城乡建设部发布行业标准：《园林绿化球根花卉·种球》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Theme="minorEastAsia" w:hAnsiTheme="minorEastAsia" w:eastAsiaTheme="minorEastAsia" w:cstheme="minorEastAsia"/>
          <w:b w:val="0"/>
          <w:i w:val="0"/>
          <w:caps w:val="0"/>
          <w:color w:val="333333"/>
          <w:spacing w:val="8"/>
          <w:sz w:val="28"/>
          <w:szCs w:val="28"/>
        </w:rPr>
      </w:pPr>
      <w:r>
        <w:rPr>
          <w:rStyle w:val="6"/>
          <w:rFonts w:hint="eastAsia" w:asciiTheme="minorEastAsia" w:hAnsiTheme="minorEastAsia" w:eastAsiaTheme="minorEastAsia" w:cstheme="minorEastAsia"/>
          <w:i w:val="0"/>
          <w:caps w:val="0"/>
          <w:color w:val="3DA742"/>
          <w:spacing w:val="8"/>
          <w:sz w:val="28"/>
          <w:szCs w:val="28"/>
          <w:shd w:val="clear" w:fill="FFFFFF"/>
        </w:rPr>
        <w:t>2019年4月1日起实施</w:t>
      </w:r>
      <w:r>
        <w:rPr>
          <w:rStyle w:val="6"/>
          <w:rFonts w:hint="eastAsia" w:asciiTheme="minorEastAsia" w:hAnsiTheme="minorEastAsia" w:eastAsiaTheme="minorEastAsia" w:cstheme="minorEastAsia"/>
          <w:i w:val="0"/>
          <w:caps w:val="0"/>
          <w:color w:val="333333"/>
          <w:spacing w:val="8"/>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近期，住房城乡建设部发布行业标准《园林绿化球根花卉·种球》的公告（2018年第239号）。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《公告》称：现批准《园林绿化球根花卉·种球》为城镇建设行业产品标准，编号为CJ/T 135-2018，自2019年4月1日起实施。原《城市绿化和园林绿地用植物材料·球根花卉种球》(CJ/T 135-2001)同时废止。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本标准在住房城乡建设部门户网站（www.mohurd.gov.cn）公开，并由住房城乡建设部标准定额研究所组织中国标准出版社出版发行。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ascii="宋体" w:hAnsi="宋体" w:eastAsia="宋体" w:cs="宋体"/>
          <w:color w:val="FFFFFF"/>
          <w:kern w:val="0"/>
          <w:sz w:val="24"/>
          <w:szCs w:val="24"/>
          <w:lang w:val="en-US" w:eastAsia="zh-CN" w:bidi="ar"/>
        </w:rPr>
        <w:t>11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6"/>
          <w:rFonts w:hint="eastAsia" w:asciiTheme="minorEastAsia" w:hAnsiTheme="minorEastAsia" w:eastAsiaTheme="minorEastAsia" w:cstheme="minorEastAsia"/>
          <w:i w:val="0"/>
          <w:caps w:val="0"/>
          <w:color w:val="3DA742"/>
          <w:spacing w:val="8"/>
          <w:sz w:val="28"/>
          <w:szCs w:val="28"/>
          <w:shd w:val="clear" w:fill="FFFFFF"/>
        </w:rPr>
      </w:pPr>
      <w:r>
        <w:rPr>
          <w:rStyle w:val="6"/>
          <w:rFonts w:hint="eastAsia" w:asciiTheme="minorEastAsia" w:hAnsiTheme="minorEastAsia" w:eastAsiaTheme="minorEastAsia" w:cstheme="minorEastAsia"/>
          <w:i w:val="0"/>
          <w:caps w:val="0"/>
          <w:color w:val="3DA742"/>
          <w:spacing w:val="8"/>
          <w:sz w:val="28"/>
          <w:szCs w:val="28"/>
          <w:shd w:val="clear" w:fill="FFFFFF"/>
        </w:rPr>
        <w:t>2019年度江苏省工程建设省级工法申报工作启动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Theme="minorEastAsia" w:hAnsiTheme="minorEastAsia" w:eastAsiaTheme="minorEastAsia" w:cstheme="minorEastAsia"/>
          <w:b w:val="0"/>
          <w:i w:val="0"/>
          <w:caps w:val="0"/>
          <w:color w:val="333333"/>
          <w:spacing w:val="8"/>
          <w:sz w:val="28"/>
          <w:szCs w:val="28"/>
        </w:rPr>
      </w:pPr>
      <w:r>
        <w:rPr>
          <w:rStyle w:val="6"/>
          <w:rFonts w:hint="eastAsia" w:asciiTheme="minorEastAsia" w:hAnsiTheme="minorEastAsia" w:eastAsiaTheme="minorEastAsia" w:cstheme="minorEastAsia"/>
          <w:i w:val="0"/>
          <w:caps w:val="0"/>
          <w:color w:val="3DA742"/>
          <w:spacing w:val="8"/>
          <w:sz w:val="28"/>
          <w:szCs w:val="28"/>
          <w:shd w:val="clear" w:fill="FFFFFF"/>
        </w:rPr>
        <w:t>申报时间：2019年7月1日——8月9日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近期，江苏省住房和城乡建设厅印发《关于开展</w:t>
      </w:r>
      <w:r>
        <w:rPr>
          <w:rFonts w:hint="eastAsia" w:ascii="微软雅黑" w:hAnsi="微软雅黑" w:eastAsia="微软雅黑" w:cs="微软雅黑"/>
          <w:b w:val="0"/>
          <w:i w:val="0"/>
          <w:caps w:val="0"/>
          <w:color w:val="333333"/>
          <w:spacing w:val="8"/>
          <w:sz w:val="25"/>
          <w:szCs w:val="25"/>
          <w:shd w:val="clear" w:fill="FFFFFF"/>
        </w:rPr>
        <w:t>2019</w:t>
      </w:r>
      <w:r>
        <w:rPr>
          <w:rFonts w:hint="eastAsia" w:ascii="宋体" w:hAnsi="宋体" w:eastAsia="宋体" w:cs="宋体"/>
          <w:b w:val="0"/>
          <w:i w:val="0"/>
          <w:caps w:val="0"/>
          <w:color w:val="333333"/>
          <w:spacing w:val="8"/>
          <w:sz w:val="25"/>
          <w:szCs w:val="25"/>
          <w:shd w:val="clear" w:fill="FFFFFF"/>
        </w:rPr>
        <w:t>年度江苏省工程建设省级工法申报工作的通知》（苏建质安〔</w:t>
      </w:r>
      <w:r>
        <w:rPr>
          <w:rFonts w:hint="eastAsia" w:ascii="微软雅黑" w:hAnsi="微软雅黑" w:eastAsia="微软雅黑" w:cs="微软雅黑"/>
          <w:b w:val="0"/>
          <w:i w:val="0"/>
          <w:caps w:val="0"/>
          <w:color w:val="333333"/>
          <w:spacing w:val="8"/>
          <w:sz w:val="25"/>
          <w:szCs w:val="25"/>
          <w:shd w:val="clear" w:fill="FFFFFF"/>
        </w:rPr>
        <w:t>2019</w:t>
      </w:r>
      <w:r>
        <w:rPr>
          <w:rFonts w:hint="eastAsia" w:ascii="宋体" w:hAnsi="宋体" w:eastAsia="宋体" w:cs="宋体"/>
          <w:b w:val="0"/>
          <w:i w:val="0"/>
          <w:caps w:val="0"/>
          <w:color w:val="333333"/>
          <w:spacing w:val="8"/>
          <w:sz w:val="25"/>
          <w:szCs w:val="25"/>
          <w:shd w:val="clear" w:fill="FFFFFF"/>
        </w:rPr>
        <w:t>〕</w:t>
      </w:r>
      <w:r>
        <w:rPr>
          <w:rFonts w:hint="eastAsia" w:ascii="微软雅黑" w:hAnsi="微软雅黑" w:eastAsia="微软雅黑" w:cs="微软雅黑"/>
          <w:b w:val="0"/>
          <w:i w:val="0"/>
          <w:caps w:val="0"/>
          <w:color w:val="333333"/>
          <w:spacing w:val="8"/>
          <w:sz w:val="25"/>
          <w:szCs w:val="25"/>
          <w:shd w:val="clear" w:fill="FFFFFF"/>
        </w:rPr>
        <w:t>214</w:t>
      </w:r>
      <w:r>
        <w:rPr>
          <w:rFonts w:hint="eastAsia" w:ascii="宋体" w:hAnsi="宋体" w:eastAsia="宋体" w:cs="宋体"/>
          <w:b w:val="0"/>
          <w:i w:val="0"/>
          <w:caps w:val="0"/>
          <w:color w:val="333333"/>
          <w:spacing w:val="8"/>
          <w:sz w:val="25"/>
          <w:szCs w:val="25"/>
          <w:shd w:val="clear" w:fill="FFFFFF"/>
        </w:rPr>
        <w:t>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《通知》称：根据住房和城乡建设部《工程建设工法管理办法》（建质〔</w:t>
      </w:r>
      <w:r>
        <w:rPr>
          <w:rFonts w:hint="eastAsia" w:ascii="微软雅黑" w:hAnsi="微软雅黑" w:eastAsia="微软雅黑" w:cs="微软雅黑"/>
          <w:b w:val="0"/>
          <w:i w:val="0"/>
          <w:caps w:val="0"/>
          <w:color w:val="333333"/>
          <w:spacing w:val="8"/>
          <w:sz w:val="25"/>
          <w:szCs w:val="25"/>
          <w:shd w:val="clear" w:fill="FFFFFF"/>
        </w:rPr>
        <w:t>2014</w:t>
      </w:r>
      <w:r>
        <w:rPr>
          <w:rFonts w:hint="eastAsia" w:ascii="宋体" w:hAnsi="宋体" w:eastAsia="宋体" w:cs="宋体"/>
          <w:b w:val="0"/>
          <w:i w:val="0"/>
          <w:caps w:val="0"/>
          <w:color w:val="333333"/>
          <w:spacing w:val="8"/>
          <w:sz w:val="25"/>
          <w:szCs w:val="25"/>
          <w:shd w:val="clear" w:fill="FFFFFF"/>
        </w:rPr>
        <w:t>〕</w:t>
      </w:r>
      <w:r>
        <w:rPr>
          <w:rFonts w:hint="eastAsia" w:ascii="微软雅黑" w:hAnsi="微软雅黑" w:eastAsia="微软雅黑" w:cs="微软雅黑"/>
          <w:b w:val="0"/>
          <w:i w:val="0"/>
          <w:caps w:val="0"/>
          <w:color w:val="333333"/>
          <w:spacing w:val="8"/>
          <w:sz w:val="25"/>
          <w:szCs w:val="25"/>
          <w:shd w:val="clear" w:fill="FFFFFF"/>
        </w:rPr>
        <w:t>103</w:t>
      </w:r>
      <w:r>
        <w:rPr>
          <w:rFonts w:hint="eastAsia" w:ascii="宋体" w:hAnsi="宋体" w:eastAsia="宋体" w:cs="宋体"/>
          <w:b w:val="0"/>
          <w:i w:val="0"/>
          <w:caps w:val="0"/>
          <w:color w:val="333333"/>
          <w:spacing w:val="8"/>
          <w:sz w:val="25"/>
          <w:szCs w:val="25"/>
          <w:shd w:val="clear" w:fill="FFFFFF"/>
        </w:rPr>
        <w:t>号）规定，为鼓励建筑企业加强工法的研究应用，加快技术积累和科技成果转化，增强建筑业科技创新能力，经研究决定，组织开展</w:t>
      </w:r>
      <w:r>
        <w:rPr>
          <w:rFonts w:hint="eastAsia" w:ascii="微软雅黑" w:hAnsi="微软雅黑" w:eastAsia="微软雅黑" w:cs="微软雅黑"/>
          <w:b w:val="0"/>
          <w:i w:val="0"/>
          <w:caps w:val="0"/>
          <w:color w:val="333333"/>
          <w:spacing w:val="8"/>
          <w:sz w:val="25"/>
          <w:szCs w:val="25"/>
          <w:shd w:val="clear" w:fill="FFFFFF"/>
        </w:rPr>
        <w:t>2019</w:t>
      </w:r>
      <w:r>
        <w:rPr>
          <w:rFonts w:hint="eastAsia" w:ascii="宋体" w:hAnsi="宋体" w:eastAsia="宋体" w:cs="宋体"/>
          <w:b w:val="0"/>
          <w:i w:val="0"/>
          <w:caps w:val="0"/>
          <w:color w:val="333333"/>
          <w:spacing w:val="8"/>
          <w:sz w:val="25"/>
          <w:szCs w:val="25"/>
          <w:shd w:val="clear" w:fill="FFFFFF"/>
        </w:rPr>
        <w:t>年度江苏省工程建设省级工法的申报和评审工作。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《通知》对申报条件、申报程序、申报要求等均作了规定，并附有“</w:t>
      </w:r>
      <w:r>
        <w:rPr>
          <w:rFonts w:hint="eastAsia" w:ascii="微软雅黑" w:hAnsi="微软雅黑" w:eastAsia="微软雅黑" w:cs="微软雅黑"/>
          <w:b w:val="0"/>
          <w:i w:val="0"/>
          <w:caps w:val="0"/>
          <w:color w:val="333333"/>
          <w:spacing w:val="8"/>
          <w:sz w:val="25"/>
          <w:szCs w:val="25"/>
          <w:shd w:val="clear" w:fill="FFFFFF"/>
        </w:rPr>
        <w:t>2019</w:t>
      </w:r>
      <w:r>
        <w:rPr>
          <w:rFonts w:hint="eastAsia" w:ascii="宋体" w:hAnsi="宋体" w:eastAsia="宋体" w:cs="宋体"/>
          <w:b w:val="0"/>
          <w:i w:val="0"/>
          <w:caps w:val="0"/>
          <w:color w:val="333333"/>
          <w:spacing w:val="8"/>
          <w:sz w:val="25"/>
          <w:szCs w:val="25"/>
          <w:shd w:val="clear" w:fill="FFFFFF"/>
        </w:rPr>
        <w:t>年度江苏省工程建设省级工法申报材料说明”。（详情可登录《江苏省住房和城乡建设厅官网》《江苏风景园林官网》下载）。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（编者注：</w:t>
      </w:r>
      <w:r>
        <w:rPr>
          <w:rFonts w:hint="eastAsia" w:ascii="微软雅黑" w:hAnsi="微软雅黑" w:eastAsia="微软雅黑" w:cs="微软雅黑"/>
          <w:b w:val="0"/>
          <w:i w:val="0"/>
          <w:caps w:val="0"/>
          <w:color w:val="333333"/>
          <w:spacing w:val="8"/>
          <w:sz w:val="25"/>
          <w:szCs w:val="25"/>
          <w:shd w:val="clear" w:fill="FFFFFF"/>
        </w:rPr>
        <w:t>2017</w:t>
      </w:r>
      <w:r>
        <w:rPr>
          <w:rFonts w:hint="eastAsia" w:ascii="宋体" w:hAnsi="宋体" w:eastAsia="宋体" w:cs="宋体"/>
          <w:b w:val="0"/>
          <w:i w:val="0"/>
          <w:caps w:val="0"/>
          <w:color w:val="333333"/>
          <w:spacing w:val="8"/>
          <w:sz w:val="25"/>
          <w:szCs w:val="25"/>
          <w:shd w:val="clear" w:fill="FFFFFF"/>
        </w:rPr>
        <w:t>年度全省有</w:t>
      </w:r>
      <w:r>
        <w:rPr>
          <w:rFonts w:hint="eastAsia" w:ascii="微软雅黑" w:hAnsi="微软雅黑" w:eastAsia="微软雅黑" w:cs="微软雅黑"/>
          <w:b w:val="0"/>
          <w:i w:val="0"/>
          <w:caps w:val="0"/>
          <w:color w:val="333333"/>
          <w:spacing w:val="8"/>
          <w:sz w:val="25"/>
          <w:szCs w:val="25"/>
          <w:shd w:val="clear" w:fill="FFFFFF"/>
        </w:rPr>
        <w:t>6</w:t>
      </w:r>
      <w:r>
        <w:rPr>
          <w:rFonts w:hint="eastAsia" w:ascii="宋体" w:hAnsi="宋体" w:eastAsia="宋体" w:cs="宋体"/>
          <w:b w:val="0"/>
          <w:i w:val="0"/>
          <w:caps w:val="0"/>
          <w:color w:val="333333"/>
          <w:spacing w:val="8"/>
          <w:sz w:val="25"/>
          <w:szCs w:val="25"/>
          <w:shd w:val="clear" w:fill="FFFFFF"/>
        </w:rPr>
        <w:t>项园林工程建设工法批准为省级工法；</w:t>
      </w:r>
      <w:r>
        <w:rPr>
          <w:rFonts w:hint="eastAsia" w:ascii="微软雅黑" w:hAnsi="微软雅黑" w:eastAsia="微软雅黑" w:cs="微软雅黑"/>
          <w:b w:val="0"/>
          <w:i w:val="0"/>
          <w:caps w:val="0"/>
          <w:color w:val="333333"/>
          <w:spacing w:val="8"/>
          <w:sz w:val="25"/>
          <w:szCs w:val="25"/>
          <w:shd w:val="clear" w:fill="FFFFFF"/>
        </w:rPr>
        <w:t>2018</w:t>
      </w:r>
      <w:r>
        <w:rPr>
          <w:rFonts w:hint="eastAsia" w:ascii="宋体" w:hAnsi="宋体" w:eastAsia="宋体" w:cs="宋体"/>
          <w:b w:val="0"/>
          <w:i w:val="0"/>
          <w:caps w:val="0"/>
          <w:color w:val="333333"/>
          <w:spacing w:val="8"/>
          <w:sz w:val="25"/>
          <w:szCs w:val="25"/>
          <w:shd w:val="clear" w:fill="FFFFFF"/>
        </w:rPr>
        <w:t>年度有</w:t>
      </w:r>
      <w:r>
        <w:rPr>
          <w:rFonts w:hint="eastAsia" w:ascii="微软雅黑" w:hAnsi="微软雅黑" w:eastAsia="微软雅黑" w:cs="微软雅黑"/>
          <w:b w:val="0"/>
          <w:i w:val="0"/>
          <w:caps w:val="0"/>
          <w:color w:val="333333"/>
          <w:spacing w:val="8"/>
          <w:sz w:val="25"/>
          <w:szCs w:val="25"/>
          <w:shd w:val="clear" w:fill="FFFFFF"/>
        </w:rPr>
        <w:t>23</w:t>
      </w:r>
      <w:r>
        <w:rPr>
          <w:rFonts w:hint="eastAsia" w:ascii="宋体" w:hAnsi="宋体" w:eastAsia="宋体" w:cs="宋体"/>
          <w:b w:val="0"/>
          <w:i w:val="0"/>
          <w:caps w:val="0"/>
          <w:color w:val="333333"/>
          <w:spacing w:val="8"/>
          <w:sz w:val="25"/>
          <w:szCs w:val="25"/>
          <w:shd w:val="clear" w:fill="FFFFFF"/>
        </w:rPr>
        <w:t>项园林工程建设工法批准为省级工法）</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6"/>
          <w:rFonts w:hint="eastAsia" w:ascii="宋体" w:hAnsi="宋体" w:eastAsia="宋体" w:cs="宋体"/>
          <w:i w:val="0"/>
          <w:caps w:val="0"/>
          <w:color w:val="3DA742"/>
          <w:spacing w:val="8"/>
          <w:sz w:val="28"/>
          <w:szCs w:val="28"/>
          <w:shd w:val="clear" w:fill="FFFFFF"/>
        </w:rPr>
      </w:pPr>
      <w:r>
        <w:rPr>
          <w:rStyle w:val="6"/>
          <w:rFonts w:hint="eastAsia" w:ascii="宋体" w:hAnsi="宋体" w:eastAsia="宋体" w:cs="宋体"/>
          <w:i w:val="0"/>
          <w:caps w:val="0"/>
          <w:color w:val="3DA742"/>
          <w:spacing w:val="8"/>
          <w:sz w:val="28"/>
          <w:szCs w:val="28"/>
          <w:shd w:val="clear" w:fill="FFFFFF"/>
        </w:rPr>
        <w:t>中国社科院和经济日报社共同发布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微软雅黑" w:hAnsi="微软雅黑" w:eastAsia="微软雅黑" w:cs="微软雅黑"/>
          <w:b w:val="0"/>
          <w:i w:val="0"/>
          <w:caps w:val="0"/>
          <w:color w:val="333333"/>
          <w:spacing w:val="8"/>
          <w:sz w:val="28"/>
          <w:szCs w:val="28"/>
        </w:rPr>
      </w:pPr>
      <w:r>
        <w:rPr>
          <w:rStyle w:val="6"/>
          <w:rFonts w:hint="eastAsia" w:ascii="宋体" w:hAnsi="宋体" w:eastAsia="宋体" w:cs="宋体"/>
          <w:i w:val="0"/>
          <w:caps w:val="0"/>
          <w:color w:val="3DA742"/>
          <w:spacing w:val="8"/>
          <w:sz w:val="28"/>
          <w:szCs w:val="28"/>
          <w:shd w:val="clear" w:fill="FFFFFF"/>
        </w:rPr>
        <w:t>《2018年中国城市竞争力报告》无锡蝉联内地宜居城市第一位</w:t>
      </w:r>
      <w:r>
        <w:rPr>
          <w:rStyle w:val="6"/>
          <w:rFonts w:hint="eastAsia" w:ascii="宋体" w:hAnsi="宋体" w:eastAsia="宋体" w:cs="宋体"/>
          <w:i w:val="0"/>
          <w:caps w:val="0"/>
          <w:color w:val="333333"/>
          <w:spacing w:val="8"/>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5"/>
          <w:szCs w:val="25"/>
          <w:shd w:val="clear" w:fill="FFFFFF"/>
        </w:rPr>
        <w:t>《中国城市竞争力报告》自2003年开始，每年发布一次，今年已经是第17次。《报告》</w:t>
      </w:r>
      <w:r>
        <w:rPr>
          <w:rFonts w:hint="eastAsia" w:ascii="宋体" w:hAnsi="宋体" w:eastAsia="宋体" w:cs="宋体"/>
          <w:b w:val="0"/>
          <w:i w:val="0"/>
          <w:caps w:val="0"/>
          <w:color w:val="333333"/>
          <w:spacing w:val="8"/>
          <w:sz w:val="25"/>
          <w:szCs w:val="25"/>
          <w:shd w:val="clear" w:fill="FFFFFF"/>
        </w:rPr>
        <w:t>构建了城市综合经济竞争力指数、宜居竞争力指数、可持续竞争力指数、宜商竞争力指数，对2018年中国两岸4地293个城市的综合经济竞争力和288个城市的宜居竞争力、可持续竞争力、宜商竞争力进行了研究。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宜居城市是城市人才争夺的首要砝码。与2017年相比，前十位中，香港继续独占鳌头，并与其他城市拉开明显差距，无锡则继续位居城市宜居竞争力排行榜第二位（内地宜居城市第一名），杭州位列第三，南通、深圳的宜居竞争力有所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b w:val="0"/>
          <w:i w:val="0"/>
          <w:caps w:val="0"/>
          <w:color w:val="333333"/>
          <w:spacing w:val="8"/>
          <w:sz w:val="25"/>
          <w:szCs w:val="25"/>
          <w:shd w:val="clear" w:fill="FFFFFF"/>
        </w:rPr>
      </w:pPr>
      <w:r>
        <w:rPr>
          <w:rFonts w:hint="eastAsia" w:ascii="宋体" w:hAnsi="宋体" w:eastAsia="宋体" w:cs="宋体"/>
          <w:b w:val="0"/>
          <w:i w:val="0"/>
          <w:caps w:val="0"/>
          <w:color w:val="333333"/>
          <w:spacing w:val="8"/>
          <w:sz w:val="25"/>
          <w:szCs w:val="25"/>
          <w:shd w:val="clear" w:fill="FFFFFF"/>
        </w:rPr>
        <w:t>《报告》指出，未来，中国城镇化率将持续增长，预计到2035年，中国城镇化比例将达到70%以上，更多的人口将从个体迁移转向家庭迁移。未来将形成以城市群为主体、大中小城市和小城镇协调发展的城市格局，空间扩散的城市形态正带动更大的区域走向繁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pPr>
      <w:r>
        <w:rPr>
          <w:rFonts w:hint="default" w:ascii="楷体_GB2312" w:hAnsi="微软雅黑" w:eastAsia="楷体_GB2312" w:cs="楷体_GB2312"/>
          <w:b w:val="0"/>
          <w:i w:val="0"/>
          <w:caps w:val="0"/>
          <w:color w:val="333333"/>
          <w:spacing w:val="8"/>
          <w:sz w:val="25"/>
          <w:szCs w:val="25"/>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6"/>
          <w:rFonts w:hint="eastAsia" w:ascii="宋体" w:hAnsi="宋体" w:eastAsia="宋体" w:cs="宋体"/>
          <w:i w:val="0"/>
          <w:caps w:val="0"/>
          <w:color w:val="3DA742"/>
          <w:spacing w:val="8"/>
          <w:sz w:val="28"/>
          <w:szCs w:val="28"/>
          <w:shd w:val="clear" w:fill="FFFFFF"/>
        </w:rPr>
      </w:pPr>
      <w:r>
        <w:rPr>
          <w:rStyle w:val="6"/>
          <w:rFonts w:hint="eastAsia" w:ascii="宋体" w:hAnsi="宋体" w:eastAsia="宋体" w:cs="宋体"/>
          <w:i w:val="0"/>
          <w:caps w:val="0"/>
          <w:color w:val="3DA742"/>
          <w:spacing w:val="8"/>
          <w:sz w:val="28"/>
          <w:szCs w:val="28"/>
          <w:shd w:val="clear" w:fill="FFFFFF"/>
        </w:rPr>
        <w:t>资金安全仍是园林企业重中之重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微软雅黑" w:hAnsi="微软雅黑" w:eastAsia="微软雅黑" w:cs="微软雅黑"/>
          <w:b w:val="0"/>
          <w:i w:val="0"/>
          <w:caps w:val="0"/>
          <w:color w:val="333333"/>
          <w:spacing w:val="8"/>
          <w:sz w:val="28"/>
          <w:szCs w:val="28"/>
        </w:rPr>
      </w:pPr>
      <w:r>
        <w:rPr>
          <w:rStyle w:val="6"/>
          <w:rFonts w:hint="eastAsia" w:ascii="宋体" w:hAnsi="宋体" w:eastAsia="宋体" w:cs="宋体"/>
          <w:i w:val="0"/>
          <w:caps w:val="0"/>
          <w:color w:val="3DA742"/>
          <w:spacing w:val="8"/>
          <w:sz w:val="28"/>
          <w:szCs w:val="28"/>
          <w:shd w:val="clear" w:fill="FFFFFF"/>
        </w:rPr>
        <w:t>规范地方政府举债融资行为</w:t>
      </w:r>
      <w:r>
        <w:rPr>
          <w:rStyle w:val="6"/>
          <w:rFonts w:hint="eastAsia" w:ascii="微软雅黑" w:hAnsi="微软雅黑" w:eastAsia="微软雅黑" w:cs="微软雅黑"/>
          <w:i w:val="0"/>
          <w:caps w:val="0"/>
          <w:color w:val="3DA742"/>
          <w:spacing w:val="8"/>
          <w:sz w:val="28"/>
          <w:szCs w:val="28"/>
          <w:shd w:val="clear" w:fill="FFFFFF"/>
        </w:rPr>
        <w:t> </w:t>
      </w:r>
      <w:r>
        <w:rPr>
          <w:rFonts w:hint="eastAsia" w:ascii="微软雅黑" w:hAnsi="微软雅黑" w:eastAsia="微软雅黑" w:cs="微软雅黑"/>
          <w:i w:val="0"/>
          <w:caps w:val="0"/>
          <w:color w:val="3DA742"/>
          <w:spacing w:val="8"/>
          <w:sz w:val="28"/>
          <w:szCs w:val="28"/>
          <w:shd w:val="clear" w:fill="FFFFFF"/>
        </w:rPr>
        <w:t> </w:t>
      </w:r>
      <w:r>
        <w:rPr>
          <w:rStyle w:val="6"/>
          <w:rFonts w:hint="eastAsia" w:ascii="宋体" w:hAnsi="宋体" w:eastAsia="宋体" w:cs="宋体"/>
          <w:i w:val="0"/>
          <w:caps w:val="0"/>
          <w:color w:val="3DA742"/>
          <w:spacing w:val="8"/>
          <w:sz w:val="28"/>
          <w:szCs w:val="28"/>
          <w:shd w:val="clear" w:fill="FFFFFF"/>
        </w:rPr>
        <w:t>明确禁止垫资施工</w:t>
      </w:r>
      <w:r>
        <w:rPr>
          <w:rStyle w:val="6"/>
          <w:rFonts w:hint="eastAsia" w:ascii="微软雅黑" w:hAnsi="微软雅黑" w:eastAsia="微软雅黑" w:cs="微软雅黑"/>
          <w:i w:val="0"/>
          <w:caps w:val="0"/>
          <w:color w:val="333333"/>
          <w:spacing w:val="8"/>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5"/>
        <w:jc w:val="both"/>
        <w:textAlignment w:val="auto"/>
        <w:rPr>
          <w:rFonts w:hint="eastAsia" w:ascii="微软雅黑" w:hAnsi="微软雅黑" w:eastAsia="微软雅黑" w:cs="微软雅黑"/>
          <w:b/>
          <w:bCs/>
          <w:i w:val="0"/>
          <w:caps w:val="0"/>
          <w:color w:val="333333"/>
          <w:spacing w:val="8"/>
          <w:sz w:val="25"/>
          <w:szCs w:val="25"/>
        </w:rPr>
      </w:pPr>
      <w:r>
        <w:rPr>
          <w:rFonts w:hint="eastAsia" w:ascii="宋体" w:hAnsi="宋体" w:eastAsia="宋体" w:cs="宋体"/>
          <w:b/>
          <w:bCs/>
          <w:i w:val="0"/>
          <w:caps w:val="0"/>
          <w:color w:val="333333"/>
          <w:spacing w:val="8"/>
          <w:sz w:val="25"/>
          <w:szCs w:val="25"/>
          <w:shd w:val="clear" w:fill="FFFFFF"/>
        </w:rPr>
        <w:t>一、水治理快速发展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今后PPP规范化管理将成为重点，水环境综合治理行业会保持快速发展。2017年国家各部委先后出台《重点流域水污染防治规划（2016-2020年）》等一系列政策，随着相关政策的不断加强，地方政府仍将保持旺盛的水环境综合治理需求。结合十九大报告中提出的乡村振兴战略，该需求将从城市向农村拓展。市场空间扩大，业务机会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5"/>
        <w:jc w:val="both"/>
        <w:textAlignment w:val="auto"/>
        <w:rPr>
          <w:rFonts w:hint="eastAsia" w:ascii="微软雅黑" w:hAnsi="微软雅黑" w:eastAsia="微软雅黑" w:cs="微软雅黑"/>
          <w:b/>
          <w:bCs/>
          <w:i w:val="0"/>
          <w:caps w:val="0"/>
          <w:color w:val="333333"/>
          <w:spacing w:val="8"/>
          <w:sz w:val="25"/>
          <w:szCs w:val="25"/>
        </w:rPr>
      </w:pPr>
      <w:r>
        <w:rPr>
          <w:rFonts w:hint="eastAsia" w:ascii="宋体" w:hAnsi="宋体" w:eastAsia="宋体" w:cs="宋体"/>
          <w:b/>
          <w:bCs/>
          <w:i w:val="0"/>
          <w:caps w:val="0"/>
          <w:color w:val="333333"/>
          <w:spacing w:val="8"/>
          <w:sz w:val="25"/>
          <w:szCs w:val="25"/>
          <w:shd w:val="clear" w:fill="FFFFFF"/>
        </w:rPr>
        <w:t>二、全域旅游被看好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消费升级叠加政策红利，全域旅游行业投资快速增长。2019年全国人大政府工作报告中指出，要推动消费稳定增长，多措并举促进城乡居民增收，增强消费能力。近年来国内游客的旅游需求逐渐由观光旅游转变为休闲旅游，随着旅游需求上升到更高层次，未来的旅游投资将会快速增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05"/>
        <w:jc w:val="both"/>
        <w:textAlignment w:val="auto"/>
        <w:rPr>
          <w:rFonts w:hint="eastAsia" w:ascii="微软雅黑" w:hAnsi="微软雅黑" w:eastAsia="微软雅黑" w:cs="微软雅黑"/>
          <w:b/>
          <w:bCs/>
          <w:i w:val="0"/>
          <w:caps w:val="0"/>
          <w:color w:val="333333"/>
          <w:spacing w:val="8"/>
          <w:sz w:val="25"/>
          <w:szCs w:val="25"/>
        </w:rPr>
      </w:pPr>
      <w:r>
        <w:rPr>
          <w:rFonts w:hint="eastAsia" w:ascii="宋体" w:hAnsi="宋体" w:eastAsia="宋体" w:cs="宋体"/>
          <w:b/>
          <w:bCs/>
          <w:i w:val="0"/>
          <w:caps w:val="0"/>
          <w:color w:val="333333"/>
          <w:spacing w:val="8"/>
          <w:sz w:val="25"/>
          <w:szCs w:val="25"/>
          <w:shd w:val="clear" w:fill="FFFFFF"/>
        </w:rPr>
        <w:t>三、业务模式风险需警惕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近一年，园林上市企业股价遭遇断崖式下跌，被很多人看衰，一个重要原因是业务模式风险大。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一是传统模式风险。市政园林项目的传统模式通常要企业先垫资后收款，因此会形成大量存货和应收账款。东方园林工程项目运作周期一般为1至3年，部分项目长达3至5年，项目周期长度也对公司业务模式及收款带来不确定性。针对这种情况，东方园林计提了存货跌价准备来降低存货减值风险，同时公司也将严格执行应收账款减值政策并控制相关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另外，近年来房地产行业景气下滑，而房地产市场是地方政府收入的重要来源，地方政府收支因此受到较大影响。加之国家加强了对地方政府债务的清查和整顿，相当一部分地方政府减少了市政园林建设的投资。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二是PPP模式风险。一方面是我国PPP模式处于起步阶段，PPP模式发展的政策环境、信用环境还有待完善，同时，PPP项目落地受政策颁布进度、政策支持力度等的直接影响，存在不确定性；另一方面，PPP项目周期较长，往往跨越几届政府，政府换届是否影响履约情况有待考察。这可能导致施工企业订单规模增长速度放缓、订单落地速度放缓、工程工期延长、应收账款回收等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目前很多生态治理项目都是</w:t>
      </w:r>
      <w:r>
        <w:rPr>
          <w:rFonts w:hint="eastAsia" w:ascii="微软雅黑" w:hAnsi="微软雅黑" w:eastAsia="微软雅黑" w:cs="微软雅黑"/>
          <w:b w:val="0"/>
          <w:i w:val="0"/>
          <w:caps w:val="0"/>
          <w:color w:val="333333"/>
          <w:spacing w:val="8"/>
          <w:sz w:val="25"/>
          <w:szCs w:val="25"/>
          <w:shd w:val="clear" w:fill="FFFFFF"/>
        </w:rPr>
        <w:t>PPP</w:t>
      </w:r>
      <w:r>
        <w:rPr>
          <w:rFonts w:hint="eastAsia" w:ascii="宋体" w:hAnsi="宋体" w:eastAsia="宋体" w:cs="宋体"/>
          <w:b w:val="0"/>
          <w:i w:val="0"/>
          <w:caps w:val="0"/>
          <w:color w:val="333333"/>
          <w:spacing w:val="8"/>
          <w:sz w:val="25"/>
          <w:szCs w:val="25"/>
          <w:shd w:val="clear" w:fill="FFFFFF"/>
        </w:rPr>
        <w:t>模式，有人戏言</w:t>
      </w:r>
      <w:r>
        <w:rPr>
          <w:rFonts w:hint="eastAsia" w:ascii="微软雅黑" w:hAnsi="微软雅黑" w:eastAsia="微软雅黑" w:cs="微软雅黑"/>
          <w:b w:val="0"/>
          <w:i w:val="0"/>
          <w:caps w:val="0"/>
          <w:color w:val="333333"/>
          <w:spacing w:val="8"/>
          <w:sz w:val="25"/>
          <w:szCs w:val="25"/>
          <w:shd w:val="clear" w:fill="FFFFFF"/>
        </w:rPr>
        <w:t>“</w:t>
      </w:r>
      <w:r>
        <w:rPr>
          <w:rFonts w:hint="eastAsia" w:ascii="宋体" w:hAnsi="宋体" w:eastAsia="宋体" w:cs="宋体"/>
          <w:b w:val="0"/>
          <w:i w:val="0"/>
          <w:caps w:val="0"/>
          <w:color w:val="333333"/>
          <w:spacing w:val="8"/>
          <w:sz w:val="25"/>
          <w:szCs w:val="25"/>
          <w:shd w:val="clear" w:fill="FFFFFF"/>
        </w:rPr>
        <w:t>不做等死，做是找死</w:t>
      </w:r>
      <w:r>
        <w:rPr>
          <w:rFonts w:hint="eastAsia" w:ascii="微软雅黑" w:hAnsi="微软雅黑" w:eastAsia="微软雅黑" w:cs="微软雅黑"/>
          <w:b w:val="0"/>
          <w:i w:val="0"/>
          <w:caps w:val="0"/>
          <w:color w:val="333333"/>
          <w:spacing w:val="8"/>
          <w:sz w:val="25"/>
          <w:szCs w:val="25"/>
          <w:shd w:val="clear" w:fill="FFFFFF"/>
        </w:rPr>
        <w:t>”</w:t>
      </w:r>
      <w:r>
        <w:rPr>
          <w:rFonts w:hint="eastAsia" w:ascii="宋体" w:hAnsi="宋体" w:eastAsia="宋体" w:cs="宋体"/>
          <w:b w:val="0"/>
          <w:i w:val="0"/>
          <w:caps w:val="0"/>
          <w:color w:val="333333"/>
          <w:spacing w:val="8"/>
          <w:sz w:val="25"/>
          <w:szCs w:val="25"/>
          <w:shd w:val="clear" w:fill="FFFFFF"/>
        </w:rPr>
        <w:t>。可喜的是现在在不断规范地方政府举债融资行为，并明确禁止垫资施工，园林企业也需密切关注政策变化，审慎考虑项目风险，筛选优质低风险的项目。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pPr>
      <w:r>
        <w:rPr>
          <w:rFonts w:hint="default" w:ascii="楷体_GB2312" w:hAnsi="微软雅黑" w:eastAsia="楷体_GB2312" w:cs="楷体_GB2312"/>
          <w:b w:val="0"/>
          <w:i w:val="0"/>
          <w:caps w:val="0"/>
          <w:color w:val="333333"/>
          <w:spacing w:val="8"/>
          <w:sz w:val="25"/>
          <w:szCs w:val="25"/>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Theme="minorEastAsia" w:hAnsiTheme="minorEastAsia" w:eastAsiaTheme="minorEastAsia" w:cstheme="minorEastAsia"/>
          <w:b w:val="0"/>
          <w:i w:val="0"/>
          <w:caps w:val="0"/>
          <w:color w:val="333333"/>
          <w:spacing w:val="8"/>
          <w:sz w:val="28"/>
          <w:szCs w:val="28"/>
        </w:rPr>
      </w:pPr>
      <w:r>
        <w:rPr>
          <w:rStyle w:val="6"/>
          <w:rFonts w:hint="eastAsia" w:asciiTheme="minorEastAsia" w:hAnsiTheme="minorEastAsia" w:eastAsiaTheme="minorEastAsia" w:cstheme="minorEastAsia"/>
          <w:i w:val="0"/>
          <w:caps w:val="0"/>
          <w:color w:val="3DA742"/>
          <w:spacing w:val="8"/>
          <w:sz w:val="28"/>
          <w:szCs w:val="28"/>
          <w:shd w:val="clear" w:fill="FFFFFF"/>
        </w:rPr>
        <w:t>雄安新区将建悦容公园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Theme="minorEastAsia" w:hAnsiTheme="minorEastAsia" w:eastAsiaTheme="minorEastAsia" w:cstheme="minorEastAsia"/>
          <w:b w:val="0"/>
          <w:i w:val="0"/>
          <w:caps w:val="0"/>
          <w:color w:val="333333"/>
          <w:spacing w:val="8"/>
          <w:sz w:val="28"/>
          <w:szCs w:val="28"/>
        </w:rPr>
      </w:pPr>
      <w:r>
        <w:rPr>
          <w:rStyle w:val="6"/>
          <w:rFonts w:hint="eastAsia" w:asciiTheme="minorEastAsia" w:hAnsiTheme="minorEastAsia" w:eastAsiaTheme="minorEastAsia" w:cstheme="minorEastAsia"/>
          <w:i w:val="0"/>
          <w:caps w:val="0"/>
          <w:color w:val="3DA742"/>
          <w:spacing w:val="8"/>
          <w:sz w:val="28"/>
          <w:szCs w:val="28"/>
          <w:shd w:val="clear" w:fill="FFFFFF"/>
        </w:rPr>
        <w:t>总投资约14.4亿元 </w:t>
      </w:r>
      <w:r>
        <w:rPr>
          <w:rFonts w:hint="eastAsia" w:asciiTheme="minorEastAsia" w:hAnsiTheme="minorEastAsia" w:eastAsiaTheme="minorEastAsia" w:cstheme="minorEastAsia"/>
          <w:i w:val="0"/>
          <w:caps w:val="0"/>
          <w:color w:val="3DA742"/>
          <w:spacing w:val="8"/>
          <w:sz w:val="28"/>
          <w:szCs w:val="28"/>
          <w:shd w:val="clear" w:fill="FFFFFF"/>
        </w:rPr>
        <w:t> </w:t>
      </w:r>
      <w:r>
        <w:rPr>
          <w:rStyle w:val="6"/>
          <w:rFonts w:hint="eastAsia" w:asciiTheme="minorEastAsia" w:hAnsiTheme="minorEastAsia" w:eastAsiaTheme="minorEastAsia" w:cstheme="minorEastAsia"/>
          <w:i w:val="0"/>
          <w:caps w:val="0"/>
          <w:color w:val="3DA742"/>
          <w:spacing w:val="8"/>
          <w:sz w:val="28"/>
          <w:szCs w:val="28"/>
          <w:shd w:val="clear" w:fill="FFFFFF"/>
        </w:rPr>
        <w:t>总面积约2.16平方公里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6月11日，雄安新区公共资源交易中心发布《悦容公园项目勘察设计招标资格预审公告》。公告显示，雄安新区将新建悦容公园，项目位于容城县城以东、容东片区以西、起步区和荣乌高速以北、津保城际铁路以南。项目建设总投资约14.4亿元，总面积约2.16平方公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该项目资金来源：政府资金。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服务要求：项目内容需充分考虑数字化、智能化的要求，以大数据和区块链为基础：全过程中产生的建筑信息模型（BIM）数据需统一接入新区城市信息模型（CIM）管理平台；通过区块链资金管理平台进行本项目的全过程资金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ascii="宋体" w:hAnsi="宋体" w:eastAsia="宋体" w:cs="宋体"/>
          <w:color w:val="FFFFFF"/>
          <w:kern w:val="0"/>
          <w:sz w:val="24"/>
          <w:szCs w:val="24"/>
          <w:lang w:val="en-US" w:eastAsia="zh-CN" w:bidi="ar"/>
        </w:rPr>
        <w:t>15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6"/>
          <w:rFonts w:hint="eastAsia" w:asciiTheme="minorEastAsia" w:hAnsiTheme="minorEastAsia" w:cstheme="minorEastAsia"/>
          <w:i w:val="0"/>
          <w:caps w:val="0"/>
          <w:color w:val="3DA742"/>
          <w:spacing w:val="8"/>
          <w:sz w:val="28"/>
          <w:szCs w:val="28"/>
          <w:shd w:val="clear" w:fill="FFFFFF"/>
          <w:lang w:val="en-US" w:eastAsia="zh-CN"/>
        </w:rPr>
      </w:pPr>
      <w:r>
        <w:rPr>
          <w:rStyle w:val="6"/>
          <w:rFonts w:hint="eastAsia" w:asciiTheme="minorEastAsia" w:hAnsiTheme="minorEastAsia" w:eastAsiaTheme="minorEastAsia" w:cstheme="minorEastAsia"/>
          <w:i w:val="0"/>
          <w:caps w:val="0"/>
          <w:color w:val="3DA742"/>
          <w:spacing w:val="8"/>
          <w:sz w:val="28"/>
          <w:szCs w:val="28"/>
          <w:shd w:val="clear" w:fill="FFFFFF"/>
        </w:rPr>
        <w:t>投标必须核查建造师人数、社保</w:t>
      </w:r>
      <w:r>
        <w:rPr>
          <w:rStyle w:val="6"/>
          <w:rFonts w:hint="eastAsia" w:asciiTheme="minorEastAsia" w:hAnsiTheme="minorEastAsia" w:cstheme="minorEastAsia"/>
          <w:i w:val="0"/>
          <w:caps w:val="0"/>
          <w:color w:val="3DA742"/>
          <w:spacing w:val="8"/>
          <w:sz w:val="28"/>
          <w:szCs w:val="28"/>
          <w:shd w:val="clear" w:fill="FFFFFF"/>
          <w:lang w:val="en-US" w:eastAsia="zh-CN"/>
        </w:rPr>
        <w:t xml:space="preserve">   </w:t>
      </w:r>
      <w:r>
        <w:rPr>
          <w:rStyle w:val="6"/>
          <w:rFonts w:hint="eastAsia" w:asciiTheme="minorEastAsia" w:hAnsiTheme="minorEastAsia" w:eastAsiaTheme="minorEastAsia" w:cstheme="minorEastAsia"/>
          <w:i w:val="0"/>
          <w:caps w:val="0"/>
          <w:color w:val="3DA742"/>
          <w:spacing w:val="8"/>
          <w:sz w:val="28"/>
          <w:szCs w:val="28"/>
          <w:shd w:val="clear" w:fill="FFFFFF"/>
        </w:rPr>
        <w:t>打击围串标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Theme="minorEastAsia" w:hAnsiTheme="minorEastAsia" w:eastAsiaTheme="minorEastAsia" w:cstheme="minorEastAsia"/>
          <w:b w:val="0"/>
          <w:i w:val="0"/>
          <w:caps w:val="0"/>
          <w:color w:val="333333"/>
          <w:spacing w:val="8"/>
          <w:sz w:val="28"/>
          <w:szCs w:val="28"/>
        </w:rPr>
      </w:pPr>
      <w:r>
        <w:rPr>
          <w:rStyle w:val="6"/>
          <w:rFonts w:hint="eastAsia" w:asciiTheme="minorEastAsia" w:hAnsiTheme="minorEastAsia" w:eastAsiaTheme="minorEastAsia" w:cstheme="minorEastAsia"/>
          <w:i w:val="0"/>
          <w:caps w:val="0"/>
          <w:color w:val="3DA742"/>
          <w:spacing w:val="8"/>
          <w:sz w:val="28"/>
          <w:szCs w:val="28"/>
          <w:shd w:val="clear" w:fill="FFFFFF"/>
        </w:rPr>
        <w:t>上海出台12条严规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5"/>
          <w:szCs w:val="25"/>
          <w:shd w:val="clear" w:fill="FFFFFF"/>
        </w:rPr>
        <w:t>6月24日，上海市住建委发布《关于进一步加强本市建设工程招标投标监管治理打击违法行为的通知》。。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5"/>
          <w:szCs w:val="25"/>
          <w:shd w:val="clear" w:fill="FFFFFF"/>
        </w:rPr>
        <w:t>《通知》指出：为切实维护建筑市场主体合法权益，严厉打击围标串标等违法行为，营造一流的公平、公正和法制化营商环境，现结合本市建设工程招标投标活动执法监督实际，对进一步加强治理打击违法行为的有关措施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5"/>
          <w:szCs w:val="25"/>
          <w:shd w:val="clear" w:fill="FFFFFF"/>
        </w:rPr>
        <w:t>一、整合监督资源，建立和完善执纪执法协作机制。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5"/>
          <w:szCs w:val="25"/>
          <w:shd w:val="clear" w:fill="FFFFFF"/>
        </w:rPr>
        <w:t>二、进一步严格投标资格设置。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5"/>
          <w:szCs w:val="25"/>
          <w:shd w:val="clear" w:fill="FFFFFF"/>
        </w:rPr>
        <w:t>三、进一步完善施工招标评标办法。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5"/>
          <w:szCs w:val="25"/>
          <w:shd w:val="clear" w:fill="FFFFFF"/>
        </w:rPr>
        <w:t>四、通过信息化手段确保投标人名单在开标前保密。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5"/>
          <w:szCs w:val="25"/>
          <w:shd w:val="clear" w:fill="FFFFFF"/>
        </w:rPr>
        <w:t>五、严格投标人代表和投标保证金制度。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5"/>
          <w:szCs w:val="25"/>
          <w:shd w:val="clear" w:fill="FFFFFF"/>
        </w:rPr>
        <w:t>六、规范招标人招投标程序中集体决策机制。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5"/>
          <w:szCs w:val="25"/>
          <w:shd w:val="clear" w:fill="FFFFFF"/>
        </w:rPr>
        <w:t>七、加强日常监管中违法行为发现。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5"/>
          <w:szCs w:val="25"/>
          <w:shd w:val="clear" w:fill="FFFFFF"/>
        </w:rPr>
        <w:t>八、加强标后合同履行监管。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5"/>
          <w:szCs w:val="25"/>
          <w:shd w:val="clear" w:fill="FFFFFF"/>
        </w:rPr>
        <w:t>九、增强调查取证的专业技术力量。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5"/>
          <w:szCs w:val="25"/>
          <w:shd w:val="clear" w:fill="FFFFFF"/>
        </w:rPr>
        <w:t>十、严格涉案单位和人员配合调查义务。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5"/>
          <w:szCs w:val="25"/>
          <w:shd w:val="clear" w:fill="FFFFFF"/>
        </w:rPr>
        <w:t>十一、加强对违法违规行为的处置力度。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35"/>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0"/>
          <w:sz w:val="25"/>
          <w:szCs w:val="25"/>
          <w:shd w:val="clear" w:fill="FFFFFF"/>
        </w:rPr>
        <w:t>十二、严格规范招标代理行为，完善招标代理诚信体系建设。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pPr>
      <w:r>
        <w:rPr>
          <w:rFonts w:hint="default" w:ascii="楷体_GB2312" w:hAnsi="微软雅黑" w:eastAsia="楷体_GB2312" w:cs="楷体_GB2312"/>
          <w:b w:val="0"/>
          <w:i w:val="0"/>
          <w:caps w:val="0"/>
          <w:color w:val="333333"/>
          <w:spacing w:val="8"/>
          <w:sz w:val="25"/>
          <w:szCs w:val="25"/>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微软雅黑" w:hAnsi="微软雅黑" w:eastAsia="微软雅黑" w:cs="微软雅黑"/>
          <w:b w:val="0"/>
          <w:i w:val="0"/>
          <w:caps w:val="0"/>
          <w:color w:val="333333"/>
          <w:spacing w:val="8"/>
          <w:sz w:val="28"/>
          <w:szCs w:val="28"/>
        </w:rPr>
      </w:pPr>
      <w:r>
        <w:rPr>
          <w:rStyle w:val="6"/>
          <w:rFonts w:hint="eastAsia" w:ascii="宋体" w:hAnsi="宋体" w:eastAsia="宋体" w:cs="宋体"/>
          <w:i w:val="0"/>
          <w:caps w:val="0"/>
          <w:color w:val="3DA742"/>
          <w:spacing w:val="8"/>
          <w:sz w:val="28"/>
          <w:szCs w:val="28"/>
          <w:shd w:val="clear" w:fill="FFFFFF"/>
        </w:rPr>
        <w:t>江苏省风景园林协会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微软雅黑" w:hAnsi="微软雅黑" w:eastAsia="微软雅黑" w:cs="微软雅黑"/>
          <w:b w:val="0"/>
          <w:i w:val="0"/>
          <w:caps w:val="0"/>
          <w:color w:val="333333"/>
          <w:spacing w:val="8"/>
          <w:sz w:val="28"/>
          <w:szCs w:val="28"/>
        </w:rPr>
      </w:pPr>
      <w:r>
        <w:rPr>
          <w:rStyle w:val="6"/>
          <w:rFonts w:hint="eastAsia" w:ascii="宋体" w:hAnsi="宋体" w:eastAsia="宋体" w:cs="宋体"/>
          <w:i w:val="0"/>
          <w:caps w:val="0"/>
          <w:color w:val="3DA742"/>
          <w:spacing w:val="8"/>
          <w:sz w:val="28"/>
          <w:szCs w:val="28"/>
          <w:shd w:val="clear" w:fill="FFFFFF"/>
        </w:rPr>
        <w:t>《海绵城市研究》课题取得阶段性成果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2018年，《海绵城市研究》课题由江苏省住房城乡建设厅批准立项、省风景园林协会主持组织开展研究。协会组织20余家会员单位（园林企业和研究单位）、成立以王翔理事长为组长的课题组，分为6个子课题开展园林绿地海绵技术应用型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经过一年的创新性研究和实践探索，目前各项子课题研究业已完成。课题报告经多次研讨、审议、论证、修改，分别于2019年1月和5月通过了评审专家组初审，现已报省住房城乡建设厅终审。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海绵城市研究》子课题共有6项：《海绵型装配式屋顶绿化施工技术研究》、《海绵型道路非下凹式分隔绿带施工工法》、《城市公园绿地透水铺装施工技术要点》、《城市道路绿化海绵化施工技术要点》、《居住区绿地常用海绵技术施工技术要点》、《城市公园中雨水花园建造施工与维护技术要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为推进海绵城市建设科学发展，创新园林绿地海绵化建设施工新理念、新技术，协会将在该项课题研究的基础上，推进科研成果就地转化应用，取得实效。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下一步，协会拟针对海绵城市建设中的施工技术难点、要点，研究编制更具可操作性的海绵技术相关工法、规范、标准，进一步提高海绵型园林绿地建设水平，推进我省园林绿化高质量发展。</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ascii="宋体" w:hAnsi="宋体" w:eastAsia="宋体" w:cs="宋体"/>
          <w:color w:val="FFFFFF"/>
          <w:kern w:val="0"/>
          <w:sz w:val="24"/>
          <w:szCs w:val="24"/>
          <w:lang w:val="en-US" w:eastAsia="zh-CN" w:bidi="ar"/>
        </w:rPr>
        <w:t>17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6"/>
          <w:rFonts w:hint="eastAsia" w:ascii="宋体" w:hAnsi="宋体" w:eastAsia="宋体" w:cs="宋体"/>
          <w:i w:val="0"/>
          <w:caps w:val="0"/>
          <w:color w:val="3DA742"/>
          <w:spacing w:val="8"/>
          <w:sz w:val="28"/>
          <w:szCs w:val="28"/>
          <w:shd w:val="clear" w:fill="FFFFFF"/>
        </w:rPr>
      </w:pPr>
      <w:r>
        <w:rPr>
          <w:rStyle w:val="6"/>
          <w:rFonts w:hint="eastAsia" w:ascii="宋体" w:hAnsi="宋体" w:eastAsia="宋体" w:cs="宋体"/>
          <w:i w:val="0"/>
          <w:caps w:val="0"/>
          <w:color w:val="3DA742"/>
          <w:spacing w:val="8"/>
          <w:sz w:val="28"/>
          <w:szCs w:val="28"/>
          <w:shd w:val="clear" w:fill="FFFFFF"/>
        </w:rPr>
        <w:t>江苏省风景园林协会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微软雅黑" w:hAnsi="微软雅黑" w:eastAsia="微软雅黑" w:cs="微软雅黑"/>
          <w:b w:val="0"/>
          <w:i w:val="0"/>
          <w:caps w:val="0"/>
          <w:color w:val="333333"/>
          <w:spacing w:val="8"/>
          <w:sz w:val="28"/>
          <w:szCs w:val="28"/>
        </w:rPr>
      </w:pPr>
      <w:r>
        <w:rPr>
          <w:rStyle w:val="6"/>
          <w:rFonts w:hint="eastAsia" w:ascii="宋体" w:hAnsi="宋体" w:eastAsia="宋体" w:cs="宋体"/>
          <w:i w:val="0"/>
          <w:caps w:val="0"/>
          <w:color w:val="3DA742"/>
          <w:spacing w:val="8"/>
          <w:sz w:val="28"/>
          <w:szCs w:val="28"/>
          <w:shd w:val="clear" w:fill="FFFFFF"/>
        </w:rPr>
        <w:t>组织会员单位参观、考察北京世园会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为实地体验、学习当今城市园林绿化规划、设计、施工、养护新理念、</w:t>
      </w:r>
      <w:bookmarkStart w:id="0" w:name="_GoBack"/>
      <w:bookmarkEnd w:id="0"/>
      <w:r>
        <w:rPr>
          <w:rFonts w:hint="eastAsia" w:ascii="宋体" w:hAnsi="宋体" w:eastAsia="宋体" w:cs="宋体"/>
          <w:b w:val="0"/>
          <w:i w:val="0"/>
          <w:caps w:val="0"/>
          <w:color w:val="333333"/>
          <w:spacing w:val="8"/>
          <w:sz w:val="25"/>
          <w:szCs w:val="25"/>
          <w:shd w:val="clear" w:fill="FFFFFF"/>
        </w:rPr>
        <w:t>新材料、新技术、新工艺和海绵技术，</w:t>
      </w:r>
      <w:r>
        <w:rPr>
          <w:rFonts w:hint="eastAsia" w:ascii="微软雅黑" w:hAnsi="微软雅黑" w:eastAsia="微软雅黑" w:cs="微软雅黑"/>
          <w:b w:val="0"/>
          <w:i w:val="0"/>
          <w:caps w:val="0"/>
          <w:color w:val="333333"/>
          <w:spacing w:val="8"/>
          <w:sz w:val="25"/>
          <w:szCs w:val="25"/>
          <w:shd w:val="clear" w:fill="FFFFFF"/>
        </w:rPr>
        <w:t>6</w:t>
      </w:r>
      <w:r>
        <w:rPr>
          <w:rFonts w:hint="eastAsia" w:ascii="宋体" w:hAnsi="宋体" w:eastAsia="宋体" w:cs="宋体"/>
          <w:b w:val="0"/>
          <w:i w:val="0"/>
          <w:caps w:val="0"/>
          <w:color w:val="333333"/>
          <w:spacing w:val="8"/>
          <w:sz w:val="25"/>
          <w:szCs w:val="25"/>
          <w:shd w:val="clear" w:fill="FFFFFF"/>
        </w:rPr>
        <w:t>月</w:t>
      </w:r>
      <w:r>
        <w:rPr>
          <w:rFonts w:hint="eastAsia" w:ascii="微软雅黑" w:hAnsi="微软雅黑" w:eastAsia="微软雅黑" w:cs="微软雅黑"/>
          <w:b w:val="0"/>
          <w:i w:val="0"/>
          <w:caps w:val="0"/>
          <w:color w:val="333333"/>
          <w:spacing w:val="8"/>
          <w:sz w:val="25"/>
          <w:szCs w:val="25"/>
          <w:shd w:val="clear" w:fill="FFFFFF"/>
        </w:rPr>
        <w:t>13</w:t>
      </w:r>
      <w:r>
        <w:rPr>
          <w:rFonts w:hint="eastAsia" w:ascii="宋体" w:hAnsi="宋体" w:eastAsia="宋体" w:cs="宋体"/>
          <w:b w:val="0"/>
          <w:i w:val="0"/>
          <w:caps w:val="0"/>
          <w:color w:val="333333"/>
          <w:spacing w:val="8"/>
          <w:sz w:val="25"/>
          <w:szCs w:val="25"/>
          <w:shd w:val="clear" w:fill="FFFFFF"/>
        </w:rPr>
        <w:t>日－</w:t>
      </w:r>
      <w:r>
        <w:rPr>
          <w:rFonts w:hint="eastAsia" w:ascii="微软雅黑" w:hAnsi="微软雅黑" w:eastAsia="微软雅黑" w:cs="微软雅黑"/>
          <w:b w:val="0"/>
          <w:i w:val="0"/>
          <w:caps w:val="0"/>
          <w:color w:val="333333"/>
          <w:spacing w:val="8"/>
          <w:sz w:val="25"/>
          <w:szCs w:val="25"/>
          <w:shd w:val="clear" w:fill="FFFFFF"/>
        </w:rPr>
        <w:t>17</w:t>
      </w:r>
      <w:r>
        <w:rPr>
          <w:rFonts w:hint="eastAsia" w:ascii="宋体" w:hAnsi="宋体" w:eastAsia="宋体" w:cs="宋体"/>
          <w:b w:val="0"/>
          <w:i w:val="0"/>
          <w:caps w:val="0"/>
          <w:color w:val="333333"/>
          <w:spacing w:val="8"/>
          <w:sz w:val="25"/>
          <w:szCs w:val="25"/>
          <w:shd w:val="clear" w:fill="FFFFFF"/>
        </w:rPr>
        <w:t>日，省协会组织部分会员单位从事园林绿化工程管理、技术人员等近</w:t>
      </w:r>
      <w:r>
        <w:rPr>
          <w:rFonts w:hint="eastAsia" w:ascii="微软雅黑" w:hAnsi="微软雅黑" w:eastAsia="微软雅黑" w:cs="微软雅黑"/>
          <w:b w:val="0"/>
          <w:i w:val="0"/>
          <w:caps w:val="0"/>
          <w:color w:val="333333"/>
          <w:spacing w:val="8"/>
          <w:sz w:val="25"/>
          <w:szCs w:val="25"/>
          <w:shd w:val="clear" w:fill="FFFFFF"/>
        </w:rPr>
        <w:t>30</w:t>
      </w:r>
      <w:r>
        <w:rPr>
          <w:rFonts w:hint="eastAsia" w:ascii="宋体" w:hAnsi="宋体" w:eastAsia="宋体" w:cs="宋体"/>
          <w:b w:val="0"/>
          <w:i w:val="0"/>
          <w:caps w:val="0"/>
          <w:color w:val="333333"/>
          <w:spacing w:val="8"/>
          <w:sz w:val="25"/>
          <w:szCs w:val="25"/>
          <w:shd w:val="clear" w:fill="FFFFFF"/>
        </w:rPr>
        <w:t>人赴京参观、考察北京世园会。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5"/>
          <w:szCs w:val="25"/>
          <w:shd w:val="clear" w:fill="FFFFFF"/>
        </w:rPr>
        <w:t>在世园会参观、考察期间，学习考察团全体人员平均每天步行</w:t>
      </w:r>
      <w:r>
        <w:rPr>
          <w:rFonts w:hint="eastAsia" w:ascii="微软雅黑" w:hAnsi="微软雅黑" w:eastAsia="微软雅黑" w:cs="微软雅黑"/>
          <w:b w:val="0"/>
          <w:i w:val="0"/>
          <w:caps w:val="0"/>
          <w:color w:val="333333"/>
          <w:spacing w:val="8"/>
          <w:sz w:val="25"/>
          <w:szCs w:val="25"/>
          <w:shd w:val="clear" w:fill="FFFFFF"/>
        </w:rPr>
        <w:t>20</w:t>
      </w:r>
      <w:r>
        <w:rPr>
          <w:rFonts w:hint="eastAsia" w:ascii="宋体" w:hAnsi="宋体" w:eastAsia="宋体" w:cs="宋体"/>
          <w:b w:val="0"/>
          <w:i w:val="0"/>
          <w:caps w:val="0"/>
          <w:color w:val="333333"/>
          <w:spacing w:val="8"/>
          <w:sz w:val="25"/>
          <w:szCs w:val="25"/>
          <w:shd w:val="clear" w:fill="FFFFFF"/>
        </w:rPr>
        <w:t>公里，足迹踏遍园博会的每一个展园、每一处景点、每一个细节，仔细观察、反复揣摩，用相机（手机）拍照存储，有的人生怕遗漏，还用纸笔详细记录要点，边参观边与同行研究讨论，品味个中新意，获取其中真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shd w:val="clear" w:fill="FFFFFF"/>
        </w:rPr>
        <w:t>5</w:t>
      </w:r>
      <w:r>
        <w:rPr>
          <w:rFonts w:hint="eastAsia" w:ascii="宋体" w:hAnsi="宋体" w:eastAsia="宋体" w:cs="宋体"/>
          <w:b w:val="0"/>
          <w:i w:val="0"/>
          <w:caps w:val="0"/>
          <w:color w:val="333333"/>
          <w:spacing w:val="8"/>
          <w:sz w:val="25"/>
          <w:szCs w:val="25"/>
          <w:shd w:val="clear" w:fill="FFFFFF"/>
        </w:rPr>
        <w:t>天的参观、考察，学习考察团全体人员真切地感到开阔了视野、增长了见识、学到了真经，受益匪浅、不虚此行。纷纷表示，回去后要将在北京世园会学到的许多新东西，运用到园林绿化工程项目中去，多造园林精品，为江苏园林绿化高质量发展贡献力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379DF"/>
    <w:rsid w:val="0BF379DF"/>
    <w:rsid w:val="26E5288D"/>
    <w:rsid w:val="314668BB"/>
    <w:rsid w:val="713C0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2019-07-10T02:42:00Z</dcterms:created>
  <dc:creator>Administrator</dc:creator>
  <cp:lastModifiedBy>Administrator</cp:lastModifiedBy>
  <dcterms:modified xsi:type="dcterms:W3CDTF">2019-07-15T06:41:40Z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