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Source Han Sans Bold" w:hAnsi="Source Han Sans Bold" w:eastAsia="Source Han Sans Bold" w:cs="Source Han Sans Bold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华文新魏" w:eastAsia="华文新魏"/>
          <w:b/>
          <w:color w:val="008000"/>
          <w:sz w:val="72"/>
          <w:szCs w:val="72"/>
        </w:rPr>
      </w:pPr>
      <w:r>
        <w:rPr>
          <w:rFonts w:hint="eastAsia" w:ascii="华文新魏" w:eastAsia="华文新魏"/>
          <w:b/>
          <w:color w:val="008000"/>
          <w:sz w:val="72"/>
          <w:szCs w:val="72"/>
        </w:rPr>
        <w:t>绿化行业协会简报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8</w:t>
      </w:r>
      <w:r>
        <w:rPr>
          <w:rFonts w:hint="eastAsia" w:ascii="楷体_GB2312" w:eastAsia="楷体_GB2312"/>
          <w:sz w:val="28"/>
          <w:szCs w:val="28"/>
        </w:rPr>
        <w:t>期（总第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85</w:t>
      </w:r>
      <w:r>
        <w:rPr>
          <w:rFonts w:hint="eastAsia" w:ascii="楷体_GB2312" w:eastAsia="楷体_GB2312"/>
          <w:sz w:val="28"/>
          <w:szCs w:val="28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无锡市绿化行业协会秘书处                   201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9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7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Source Han Sans Bold" w:hAnsi="Source Han Sans Bold" w:eastAsia="Source Han Sans Bold" w:cs="Source Han Sans Bold"/>
          <w:b/>
          <w:bCs/>
          <w:i w:val="0"/>
          <w:caps w:val="0"/>
          <w:color w:val="333333"/>
          <w:spacing w:val="30"/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226695</wp:posOffset>
                </wp:positionV>
                <wp:extent cx="2400300" cy="0"/>
                <wp:effectExtent l="0" t="13970" r="0" b="241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7.85pt;height:0pt;width:189pt;z-index:251660288;mso-width-relative:page;mso-height-relative:page;" filled="f" stroked="t" coordsize="21600,21600" o:gfxdata="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Q/FV7XAAAACQEA&#10;AA8AAAAAAAAAAQAgAAAAIgAAAGRycy9kb3ducmV2LnhtbFBLAQIUABQAAAAIAIdO4kACCAKJ4gEA&#10;AKUDAAAOAAAAAAAAAAEAIAAAACYBAABkcnMvZTJvRG9jLnhtbFBLBQYAAAAABgAGAFkBAAB6BQAA&#10;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</wp:posOffset>
                </wp:positionV>
                <wp:extent cx="342900" cy="326390"/>
                <wp:effectExtent l="14605" t="15240" r="23495" b="20320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639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8pt;margin-top:2.25pt;height:25.7pt;width:27pt;z-index:251661312;mso-width-relative:page;mso-height-relative:page;" fillcolor="#FF0000" filled="t" stroked="t" coordsize="342900,326390" o:gfxdata="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sxbd2QAAAAgBAAAPAAAAAAAAAAEAIAAAACIAAABkcnMvZG93bnJldi54bWxQSwECFAAUAAAA&#10;CACHTuJAUPi90+0BAADjAwAADgAAAAAAAAABACAAAAAoAQAAZHJzL2Uyb0RvYy54bWxQSwUGAAAA&#10;AAYABgBZAQAAhwUAAAAA&#10;" path="m0,124669l130976,124670,171450,0,211923,124670,342899,124669,236936,201719,277411,326389,171450,249338,65488,326389,105963,201719xe">
                <v:path o:connectlocs="171450,0;0,124669;65488,326389;277411,326389;342899,124669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2400300" cy="0"/>
                <wp:effectExtent l="0" t="13970" r="0" b="241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.85pt;height:0pt;width:189pt;z-index:251662336;mso-width-relative:page;mso-height-relative:page;" filled="f" stroked="t" coordsize="21600,21600" o:gfxdata="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ELfJ1QAAAAYBAAAP&#10;AAAAAAAAAAEAIAAAACIAAABkcnMvZG93bnJldi54bWxQSwECFAAUAAAACACHTuJAgbWxo+IBAACn&#10;AwAADgAAAAAAAAABACAAAAAk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Source Han Sans Bold" w:hAnsi="Source Han Sans Bold" w:eastAsia="Source Han Sans Bold" w:cs="Source Han Sans Bold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Source Han Sans Bold" w:hAnsi="Source Han Sans Bold" w:eastAsia="Source Han Sans Bold" w:cs="Source Han Sans Bold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协会组织参观</w:t>
      </w:r>
      <w:r>
        <w:rPr>
          <w:rFonts w:hint="eastAsia" w:ascii="Source Han Sans Bold" w:hAnsi="Source Han Sans Bold" w:eastAsia="Source Han Sans Bold" w:cs="Source Han Sans Bold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北京</w:t>
      </w:r>
      <w:r>
        <w:rPr>
          <w:rFonts w:hint="eastAsia" w:ascii="Source Han Sans Bold" w:hAnsi="Source Han Sans Bold" w:eastAsia="Source Han Sans Bold" w:cs="Source Han Sans Bold"/>
          <w:b w:val="0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</w:rPr>
        <w:fldChar w:fldCharType="begin"/>
      </w:r>
      <w:r>
        <w:rPr>
          <w:rFonts w:hint="eastAsia" w:ascii="Source Han Sans Bold" w:hAnsi="Source Han Sans Bold" w:eastAsia="Source Han Sans Bold" w:cs="Source Han Sans Bold"/>
          <w:b w:val="0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</w:rPr>
        <w:instrText xml:space="preserve"> HYPERLINK "https://baike.sogou.com/lemma/ShowInnerLink.htm?lemmaId=582340&amp;ss_c=ssc.citiao.link" \t "https://baike.sogou.com/_blank" </w:instrText>
      </w:r>
      <w:r>
        <w:rPr>
          <w:rFonts w:hint="eastAsia" w:ascii="Source Han Sans Bold" w:hAnsi="Source Han Sans Bold" w:eastAsia="Source Han Sans Bold" w:cs="Source Han Sans Bold"/>
          <w:b w:val="0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Source Han Sans Bold" w:hAnsi="Source Han Sans Bold" w:eastAsia="Source Han Sans Bold" w:cs="Source Han Sans Bold"/>
          <w:b w:val="0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</w:rPr>
        <w:t>世界园艺博览会</w:t>
      </w:r>
      <w:r>
        <w:rPr>
          <w:rFonts w:hint="eastAsia" w:ascii="Source Han Sans Bold" w:hAnsi="Source Han Sans Bold" w:eastAsia="Source Han Sans Bold" w:cs="Source Han Sans Bold"/>
          <w:b w:val="0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820420</wp:posOffset>
            </wp:positionV>
            <wp:extent cx="3781425" cy="2915920"/>
            <wp:effectExtent l="0" t="0" r="0" b="0"/>
            <wp:wrapTight wrapText="bothSides">
              <wp:wrapPolygon>
                <wp:start x="0" y="0"/>
                <wp:lineTo x="0" y="21449"/>
                <wp:lineTo x="21546" y="21449"/>
                <wp:lineTo x="21546" y="0"/>
                <wp:lineTo x="0" y="0"/>
              </wp:wrapPolygon>
            </wp:wrapTight>
            <wp:docPr id="1" name="图片 1" descr="IMG_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666"/>
                    <pic:cNvPicPr>
                      <a:picLocks noChangeAspect="1"/>
                    </pic:cNvPicPr>
                  </pic:nvPicPr>
                  <pic:blipFill>
                    <a:blip r:embed="rId4"/>
                    <a:srcRect l="5135" t="1670" r="6464" b="7438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6月26日-28日，无锡市绿化行业协会组织成员单位前往北京参观2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019年中国北京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"https://baike.sogou.com/lemma/ShowInnerLink.htm?lemmaId=582340&amp;ss_c=ssc.citiao.link" \t "https://baike.sogou.com/_blank"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世界园艺博览会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来自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40家成员单位的50多名人员参加了活动。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019年中国北京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"https://baike.sogou.com/lemma/ShowInnerLink.htm?lemmaId=582340&amp;ss_c=ssc.citiao.link" \t "https://baike.sogou.com/_blank"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世界园艺博览会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，是经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"https://baike.sogou.com/lemma/ShowInnerLink.htm?lemmaId=68960736&amp;ss_c=ssc.citiao.link" \t "https://baike.sogou.com/_blank"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国际园艺生产者协会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批准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"https://baike.sogou.com/lemma/ShowInnerLink.htm?lemmaId=727083&amp;ss_c=ssc.citiao.link" \t "https://baike.sogou.com/_blank"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国际展览局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认证授权，由中国政府主办、北京市承办的最高级别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A1级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国际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园艺博览会。园博会4月29日至10月7日在北京市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"https://baike.sogou.com/lemma/ShowInnerLink.htm?lemmaId=91727&amp;ss_c=ssc.citiao.link" \t "https://baike.sogou.com/_blank"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延庆区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举行，展期162天。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北京世园会是中国向世界展示生态文明建设成果、促进绿色产业国际交流与合作的重要平台，是弘扬绿色发展理念、推动经济发展方式和居民生活方式转变的重要契机，是建设美丽中国的生动实践。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CFCFC"/>
        </w:rPr>
        <w:t>展会主题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CFCFC"/>
          <w:lang w:eastAsia="zh-CN"/>
        </w:rPr>
        <w:t>是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CFCFC"/>
        </w:rPr>
        <w:t>绿色生活，美丽家园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CFCFC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“绿色生活”就是以园艺为媒介，引领人们尊重自然、保护自然、融入自然，牢固树立绿色、低碳、环保的生产生活理念。“美丽家园”就是要全面践行科学发展观，加快资源节约型和环境友好型社会建设，促进世界园艺事业大发展、大繁荣，共同建设多姿多彩的美好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1181100</wp:posOffset>
            </wp:positionV>
            <wp:extent cx="3790950" cy="2844165"/>
            <wp:effectExtent l="0" t="0" r="0" b="0"/>
            <wp:wrapTight wrapText="bothSides">
              <wp:wrapPolygon>
                <wp:start x="0" y="0"/>
                <wp:lineTo x="0" y="21412"/>
                <wp:lineTo x="21491" y="21412"/>
                <wp:lineTo x="21491" y="0"/>
                <wp:lineTo x="0" y="0"/>
              </wp:wrapPolygon>
            </wp:wrapTight>
            <wp:docPr id="2" name="图片 2" descr="IMG_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7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世园会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园区规划总面积503公顷，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有100多个各具特色的展园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  <w:lang w:eastAsia="zh-CN"/>
        </w:rPr>
        <w:t>，重点是四馆一中心。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</w:rPr>
        <w:t>国际馆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  <w:t>以“融和绽放”为展陈理念，采用“实物+多媒体+互动+氛围”多维方式，荟萃世界各地独特的园艺成果与贡献。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</w:rPr>
        <w:t>中国馆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  <w:t>按照“生生不息，锦绣中华”的展陈理念，实物花艺与虚拟意境相呼应，追华夏园艺历史长河，观九州园艺辉煌杰作，赏山水林田湖草律动生机。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</w:rPr>
        <w:t>植物馆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  <w:t>理念为“升起的地平”，建筑表面机理以植物根系为灵感。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</w:rPr>
        <w:t>生活体验馆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  <w:t>按照“爱园艺、爱生活”的展陈理念，综合运用静态展示、动态展示等多种方式，让游客切身体验园艺让生活更美好。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</w:rPr>
        <w:t>演艺中心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  <w:t>承担开闭幕式等大型活动，它宛如一只彩蝶驻足在妫湖之滨。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此外，还有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38个国际展园，34个国内展园，17个企业展园，5个大师园及百草园、百果园、百蔬园等特色园。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游客在这里不仅可以感受到异国风情，更会体验到来自于我国最北端、最南端各种不同的园艺植物带来的艺术感受。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CFCFC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CFCFC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世园会共有1200种植物展示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作为人和自然之间关系的桥梁，给我们带来各种物质、文化、精神的体验。留下了近5万棵各种原生树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种植了5万棵乔木和12万棵灌木；由于园区是很多鸟类迁徙栖息路线的必经之路，所以还改造了一片湿地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园区的鱼类、鸟类，两栖动物都很丰富。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CFCFC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CFCFC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世园会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  <w:lang w:eastAsia="zh-CN"/>
        </w:rPr>
        <w:t>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展示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新一代5G通信技术在远程医疗、无人驾驶、无人物流等多行业的创新型应用示范。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世园会期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  <w:lang w:eastAsia="zh-CN"/>
        </w:rPr>
        <w:t>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</w:rPr>
        <w:t>有2500多场活动，让游客在感受美丽风景同时，也可以感受到园艺文化。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394335</wp:posOffset>
            </wp:positionV>
            <wp:extent cx="4030980" cy="3023870"/>
            <wp:effectExtent l="0" t="0" r="45720" b="43180"/>
            <wp:wrapTight wrapText="bothSides">
              <wp:wrapPolygon>
                <wp:start x="0" y="0"/>
                <wp:lineTo x="0" y="21500"/>
                <wp:lineTo x="21539" y="21500"/>
                <wp:lineTo x="21539" y="0"/>
                <wp:lineTo x="0" y="0"/>
              </wp:wrapPolygon>
            </wp:wrapTight>
            <wp:docPr id="3" name="图片 3" descr="IMG_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7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  <w:lang w:eastAsia="zh-CN"/>
        </w:rPr>
        <w:t>世园会规模宏大、气势磅礴，参观人员连续在园区奔走了近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  <w:lang w:val="en-US" w:eastAsia="zh-CN"/>
        </w:rPr>
        <w:t>7个小时，都无法全部浏览到位，由于时间关系而只能观看主要场馆的内容。好多单位的技术人员及项目管理人员结合各自的工作特点，有重点的参观，拍摄下珍贵的场景照片；有的还在一起探讨交流参观的心得体会，表示要把世园会布展的手艺、技巧、特色等应用到实际工作中去，不断提高园林绿化的建设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  <w:lang w:val="en-US" w:eastAsia="zh-CN"/>
        </w:rPr>
        <w:t>在京期间，还组织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CFCFC"/>
          <w:lang w:val="en-US" w:eastAsia="zh-CN"/>
        </w:rPr>
        <w:t>参观了什刹海景区老北京四合院的古旧风貌。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 Han Sans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92DFD"/>
    <w:rsid w:val="138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2019-07-03T05:43:00Z</dcterms:created>
  <dc:creator>Administrator</dc:creator>
  <cp:lastModifiedBy>Administrator</cp:lastModifiedBy>
  <cp:lastPrinted>2019-07-03T07:09:24Z</cp:lastPrinted>
  <dcterms:modified xsi:type="dcterms:W3CDTF">2019-07-03T07:11:14Z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