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经典魏碑简" w:hAnsi="经典魏碑简" w:eastAsia="经典魏碑简" w:cs="经典魏碑简"/>
          <w:b/>
          <w:color w:val="008000"/>
          <w:sz w:val="84"/>
          <w:szCs w:val="84"/>
        </w:rPr>
      </w:pPr>
      <w:r>
        <w:rPr>
          <w:rFonts w:hint="eastAsia" w:ascii="经典魏碑简" w:hAnsi="经典魏碑简" w:eastAsia="经典魏碑简" w:cs="经典魏碑简"/>
          <w:b/>
          <w:color w:val="008000"/>
          <w:sz w:val="84"/>
          <w:szCs w:val="84"/>
        </w:rPr>
        <w:t>绿化行业协会简报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28"/>
        </w:rPr>
        <w:t>期（总第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103</w:t>
      </w:r>
      <w:r>
        <w:rPr>
          <w:rFonts w:hint="eastAsia" w:ascii="楷体_GB2312" w:eastAsia="楷体_GB2312"/>
          <w:sz w:val="28"/>
          <w:szCs w:val="28"/>
        </w:rPr>
        <w:t>期）</w:t>
      </w:r>
    </w:p>
    <w:p>
      <w:pPr>
        <w:spacing w:line="300" w:lineRule="exact"/>
        <w:rPr>
          <w:rFonts w:hint="eastAsia" w:ascii="楷体_GB2312" w:eastAsia="楷体_GB2312"/>
          <w:sz w:val="28"/>
          <w:szCs w:val="28"/>
        </w:rPr>
      </w:pPr>
    </w:p>
    <w:p>
      <w:pPr>
        <w:spacing w:line="3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无锡市绿化行业协会秘书处                   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13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spacing w:line="240" w:lineRule="exact"/>
        <w:rPr>
          <w:rFonts w:hint="eastAsia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7.85pt;height:0pt;width:189pt;z-index:251661312;mso-width-relative:page;mso-height-relative:page;" filled="f" stroked="t" coordsize="21600,21600" o:gfxdata="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PxVe1wAAAAkBAAAPAAAAAAAAAAEAIAAAACIAAABkcnMvZG93bnJldi54&#10;bWxQSwECFAAUAAAACACHTuJAqVTTK/sBAADzAwAADgAAAAAAAAABACAAAAAm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342900" cy="326390"/>
                <wp:effectExtent l="14605" t="15240" r="23495" b="2032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639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8pt;margin-top:2.25pt;height:25.7pt;width:27pt;z-index:251660288;mso-width-relative:page;mso-height-relative:page;" fillcolor="#FF0000" filled="t" stroked="t" coordsize="342900,326390" o:gfxdata="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nnOd1QAAAAgBAAAPAAAAAAAAAAEAIAAAACIA&#10;AABkcnMvZG93bnJldi54bWxQSwECFAAUAAAACACHTuJA2leHjAwCAAA6BAAADgAAAAAAAAABACAA&#10;AAAkAQAAZHJzL2Uyb0RvYy54bWxQSwUGAAAAAAYABgBZAQAAogUAAAAA&#10;" path="m0,124669l130976,124670,171450,0,211923,124670,342899,124669,236936,201719,277411,326389,171450,249338,65488,326389,105963,201719xe">
                <v:path textboxrect="0,0,342900,326390" o:connectlocs="171450,0;0,124669;65488,326389;277411,326389;342899,124669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400300" cy="0"/>
                <wp:effectExtent l="0" t="13970" r="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7.85pt;height:0pt;width:189pt;z-index:251659264;mso-width-relative:page;mso-height-relative:page;" filled="f" stroked="t" coordsize="21600,21600" o:gfxdata="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YQt8nVAAAABgEAAA8AAAAAAAAAAQAgAAAAIgAAAGRycy9kb3ducmV2Lnht&#10;bFBLAQIUABQAAAAIAIdO4kBGvRhm/AEAAPMDAAAOAAAAAAAAAAEAIAAAACQ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协会组织参观南京省园博会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334010</wp:posOffset>
            </wp:positionV>
            <wp:extent cx="3273425" cy="2628265"/>
            <wp:effectExtent l="0" t="0" r="60325" b="38735"/>
            <wp:wrapTight wrapText="bothSides">
              <wp:wrapPolygon>
                <wp:start x="0" y="0"/>
                <wp:lineTo x="0" y="21449"/>
                <wp:lineTo x="21495" y="21449"/>
                <wp:lineTo x="21495" y="0"/>
                <wp:lineTo x="0" y="0"/>
              </wp:wrapPolygon>
            </wp:wrapTight>
            <wp:docPr id="5" name="图片 5" descr="IMG_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390"/>
                    <pic:cNvPicPr>
                      <a:picLocks noChangeAspect="1"/>
                    </pic:cNvPicPr>
                  </pic:nvPicPr>
                  <pic:blipFill>
                    <a:blip r:embed="rId4"/>
                    <a:srcRect l="17169" t="1477" r="908" b="10849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第十一届江苏省园艺博览会于4月16日在南京开幕，为期一个月。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本届园博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位于南京市江宁区汤山，占地3.45平方公里，处于青龙山、黄龙山、宝华山生态廊道与绿道网络生态织补的山水格局之中，是南京紫东片区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重要生态节点。园博园围绕“锦绣江苏 生态慧谷”主题，融合“花园、公园、乐园、家园”理念，通过生态园林技术、绿色转型发展、多元文化融入，旨在打造集园林园艺展示、休闲体验、度假康养和会展等综合功能于一体的精品园林。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园博会结束后，将继续对外开放，成为“永不落幕、永远盛开、永续精彩”的园博园。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5月11日，绿化协会组织成员单位前往南京参观省园博会，来自42家单位的老总、项目经理、技术人员等60余人参加了观摩活动。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在参观过程中，大家了解到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园博园是从汤山原有废弃采矿区的基础上建造而来，有别于往届园博会，本届城市展园片区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统一规划、统筹建设。邀请了中国古建筑专家陈薇领衔设计，选择了国内最顶尖的苏州“香山帮”、浙江东阳两大古建流派以及承担过世博会、G20峰会的中亚园林、上海园林两大园林队伍，对园区每一处细节精雕细琢， 全力打造华东地区乃至全国高水平的园林园艺精品。在不到两年时间里，完成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31万平方米近百个单体建筑、254万平方米绿化景观、22.2公里道路、12 座桥梁建设。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1851025</wp:posOffset>
            </wp:positionV>
            <wp:extent cx="2724785" cy="3599815"/>
            <wp:effectExtent l="0" t="0" r="18415" b="635"/>
            <wp:wrapTight wrapText="bothSides">
              <wp:wrapPolygon>
                <wp:start x="151" y="0"/>
                <wp:lineTo x="151" y="21490"/>
                <wp:lineTo x="21444" y="21490"/>
                <wp:lineTo x="21444" y="0"/>
                <wp:lineTo x="151" y="0"/>
              </wp:wrapPolygon>
            </wp:wrapTight>
            <wp:docPr id="6" name="图片 6" descr="微信图片_2021051311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513113316"/>
                    <pic:cNvPicPr>
                      <a:picLocks noChangeAspect="1"/>
                    </pic:cNvPicPr>
                  </pic:nvPicPr>
                  <pic:blipFill>
                    <a:blip r:embed="rId5"/>
                    <a:srcRect l="-2244" t="-225" r="11675" b="10461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为实现长效运营和可持续发展，本届园博会从一开始就将“永不落幕、永远盛开”的目标愿景放在首位，超前谋划顶层运营设计、重点组建运营人才团队。择优引进了包括黑马漫画、花厨、老舍茶馆在内的48个国内外知名业态。同时，打造了全国领先由人工智能主导的智慧景区系统、全域沉浸式夜游景区，用科技助推游客体验。另外，还从食、住、行、游、购、娱等“六要素”出发，结合园博园规划建设引入商业夜市、旅游演艺、研学旅行、温泉文化、会展演出等元素，真正实现日夜盛开、四季盛开、永远盛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通过参观浏览，大家真正领略到了园博园气势恢宏、布局精湛、科技领先、赏心悦目的浓厚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氛围，有专家感叹说：“如今的园博园已经今非昔比，除了传统的移步换景、叠山理水等造园手法外，如今赋予了更多的功能，是创意的载体、是时尚的汇聚、是历史的时光机、是新品种、新材料、新工艺的集散地，是园林人的匠心给这个时代刻下的印记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短短一天的参观在烟雨蒙蒙中圆满结束，给大家留下了深刻的印象和美好的回忆。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720" w:firstLineChars="2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（秘书处）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又讯：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截止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5月8日，已有33家成员单位缴纳了2021年度的协会会费。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魏碑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8577F"/>
    <w:rsid w:val="00D00EFC"/>
    <w:rsid w:val="2708577F"/>
    <w:rsid w:val="5018289C"/>
    <w:rsid w:val="5CAF4A33"/>
    <w:rsid w:val="6D6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2021-05-12T06:53:00Z</dcterms:created>
  <dc:creator>Administrator</dc:creator>
  <cp:lastModifiedBy>Administrator</cp:lastModifiedBy>
  <dcterms:modified xsi:type="dcterms:W3CDTF">2021-05-14T05:39:27Z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556C4ADC8CEA4297BA16800B26782A6A</vt:lpwstr>
  </property>
</Properties>
</file>