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500" w:lineRule="exact"/>
        <w:jc w:val="center"/>
        <w:textAlignment w:val="auto"/>
        <w:rPr>
          <w:rFonts w:hint="eastAsia" w:ascii="黑体" w:hAnsi="黑体" w:eastAsia="黑体"/>
          <w:b/>
          <w:color w:val="008000"/>
          <w:sz w:val="70"/>
          <w:szCs w:val="70"/>
        </w:rPr>
      </w:pPr>
      <w:r>
        <w:rPr>
          <w:rFonts w:hint="eastAsia" w:ascii="黑体" w:hAnsi="黑体" w:eastAsia="黑体"/>
          <w:b/>
          <w:color w:val="008000"/>
          <w:sz w:val="70"/>
          <w:szCs w:val="70"/>
        </w:rPr>
        <w:t>江苏省风景园林协会</w:t>
      </w:r>
    </w:p>
    <w:p>
      <w:pPr>
        <w:keepNext w:val="0"/>
        <w:keepLines w:val="0"/>
        <w:pageBreakBefore w:val="0"/>
        <w:widowControl w:val="0"/>
        <w:kinsoku/>
        <w:wordWrap/>
        <w:overflowPunct/>
        <w:topLinePunct w:val="0"/>
        <w:autoSpaceDE/>
        <w:autoSpaceDN/>
        <w:bidi w:val="0"/>
        <w:adjustRightInd/>
        <w:snapToGrid/>
        <w:spacing w:line="1500" w:lineRule="exact"/>
        <w:jc w:val="center"/>
        <w:textAlignment w:val="auto"/>
        <w:rPr>
          <w:rFonts w:hint="eastAsia" w:ascii="宋体" w:hAnsi="宋体"/>
          <w:b/>
          <w:color w:val="008000"/>
          <w:sz w:val="120"/>
          <w:szCs w:val="120"/>
        </w:rPr>
      </w:pPr>
      <w:r>
        <w:rPr>
          <w:rFonts w:hint="eastAsia" w:ascii="宋体" w:hAnsi="宋体"/>
          <w:b/>
          <w:color w:val="008000"/>
          <w:sz w:val="120"/>
          <w:szCs w:val="120"/>
        </w:rPr>
        <w:t>简   讯</w:t>
      </w:r>
    </w:p>
    <w:p>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b/>
          <w:i w:val="0"/>
          <w:caps w:val="0"/>
          <w:color w:val="333333"/>
          <w:spacing w:val="8"/>
          <w:sz w:val="33"/>
          <w:szCs w:val="33"/>
          <w:shd w:val="clear" w:fill="FFFFFF"/>
        </w:rPr>
      </w:pPr>
      <w:r>
        <w:rPr>
          <w:rFonts w:hint="eastAsia" w:ascii="楷体_GB2312" w:eastAsia="楷体_GB2312"/>
          <w:color w:val="00800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373380</wp:posOffset>
                </wp:positionV>
                <wp:extent cx="5257800" cy="0"/>
                <wp:effectExtent l="0" t="9525" r="0" b="9525"/>
                <wp:wrapNone/>
                <wp:docPr id="43" name="直接连接符 4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339966"/>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pt;height:0pt;width:414pt;z-index:251658240;mso-width-relative:page;mso-height-relative:page;" filled="f" stroked="t" coordsize="21600,21600" o:gfxdata="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Om4lz1AAAAAYBAAAPAAAA&#10;AAAAAAEAIAAAACIAAABkcnMvZG93bnJldi54bWxQSwECFAAUAAAACACHTuJA7oU+BOABAACZAwAA&#10;DgAAAAAAAAABACAAAAAjAQAAZHJzL2Uyb0RvYy54bWxQSwUGAAAAAAYABgBZAQAAdQUAAAAA&#10;">
                <v:fill on="f" focussize="0,0"/>
                <v:stroke weight="1.5pt" color="#339966" joinstyle="round"/>
                <v:imagedata o:title=""/>
                <o:lock v:ext="edit" aspectratio="f"/>
              </v:line>
            </w:pict>
          </mc:Fallback>
        </mc:AlternateContent>
      </w:r>
      <w:r>
        <w:rPr>
          <w:rFonts w:hint="eastAsia" w:ascii="楷体_GB2312" w:eastAsia="楷体_GB2312"/>
          <w:color w:val="008000"/>
          <w:sz w:val="28"/>
          <w:szCs w:val="28"/>
        </w:rPr>
        <w:t>2020年第</w:t>
      </w:r>
      <w:r>
        <w:rPr>
          <w:rFonts w:hint="eastAsia" w:ascii="楷体_GB2312" w:eastAsia="楷体_GB2312"/>
          <w:color w:val="008000"/>
          <w:sz w:val="28"/>
          <w:szCs w:val="28"/>
          <w:lang w:val="en-US" w:eastAsia="zh-CN"/>
        </w:rPr>
        <w:t>7</w:t>
      </w:r>
      <w:r>
        <w:rPr>
          <w:rFonts w:hint="eastAsia" w:ascii="楷体_GB2312" w:eastAsia="楷体_GB2312"/>
          <w:color w:val="008000"/>
          <w:sz w:val="28"/>
          <w:szCs w:val="28"/>
        </w:rPr>
        <w:t>期（总</w:t>
      </w:r>
      <w:r>
        <w:rPr>
          <w:rFonts w:hint="eastAsia" w:ascii="楷体_GB2312" w:eastAsia="楷体_GB2312"/>
          <w:color w:val="008000"/>
          <w:sz w:val="28"/>
          <w:szCs w:val="28"/>
          <w:lang w:val="en-US" w:eastAsia="zh-CN"/>
        </w:rPr>
        <w:t>41</w:t>
      </w:r>
      <w:r>
        <w:rPr>
          <w:rFonts w:hint="eastAsia" w:ascii="楷体_GB2312" w:eastAsia="楷体_GB2312"/>
          <w:color w:val="008000"/>
          <w:sz w:val="28"/>
          <w:szCs w:val="28"/>
        </w:rPr>
        <w:t>期）                  2020年</w:t>
      </w:r>
      <w:r>
        <w:rPr>
          <w:rFonts w:hint="eastAsia" w:ascii="楷体_GB2312" w:eastAsia="楷体_GB2312"/>
          <w:color w:val="008000"/>
          <w:sz w:val="28"/>
          <w:szCs w:val="28"/>
          <w:lang w:val="en-US" w:eastAsia="zh-CN"/>
        </w:rPr>
        <w:t>8</w:t>
      </w:r>
      <w:r>
        <w:rPr>
          <w:rFonts w:hint="eastAsia" w:ascii="楷体_GB2312" w:eastAsia="楷体_GB2312"/>
          <w:color w:val="008000"/>
          <w:sz w:val="28"/>
          <w:szCs w:val="28"/>
        </w:rPr>
        <w:t>月</w:t>
      </w:r>
      <w:r>
        <w:rPr>
          <w:rFonts w:hint="eastAsia" w:ascii="楷体_GB2312" w:eastAsia="楷体_GB2312"/>
          <w:color w:val="008000"/>
          <w:sz w:val="28"/>
          <w:szCs w:val="28"/>
          <w:lang w:val="en-US" w:eastAsia="zh-CN"/>
        </w:rPr>
        <w:t>7</w:t>
      </w:r>
      <w:r>
        <w:rPr>
          <w:rFonts w:hint="eastAsia" w:ascii="楷体_GB2312" w:eastAsia="楷体_GB2312"/>
          <w:color w:val="008000"/>
          <w:sz w:val="28"/>
          <w:szCs w:val="28"/>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pacing w:val="8"/>
          <w:sz w:val="28"/>
          <w:szCs w:val="28"/>
        </w:rPr>
      </w:pPr>
      <w:r>
        <w:rPr>
          <w:rStyle w:val="6"/>
          <w:rFonts w:hint="eastAsia" w:ascii="宋体" w:hAnsi="宋体" w:eastAsia="宋体" w:cs="宋体"/>
          <w:i w:val="0"/>
          <w:caps w:val="0"/>
          <w:color w:val="000000"/>
          <w:spacing w:val="8"/>
          <w:sz w:val="28"/>
          <w:szCs w:val="28"/>
          <w:shd w:val="clear" w:fill="FFFFFF"/>
        </w:rPr>
        <w:t>本期目录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微软雅黑" w:hAnsi="微软雅黑" w:eastAsia="微软雅黑" w:cs="微软雅黑"/>
          <w:spacing w:val="8"/>
          <w:sz w:val="24"/>
          <w:szCs w:val="24"/>
        </w:rPr>
      </w:pPr>
      <w:r>
        <w:rPr>
          <w:rStyle w:val="6"/>
          <w:rFonts w:hint="eastAsia" w:ascii="宋体" w:hAnsi="宋体" w:eastAsia="宋体" w:cs="宋体"/>
          <w:i w:val="0"/>
          <w:caps w:val="0"/>
          <w:color w:val="333333"/>
          <w:spacing w:val="8"/>
          <w:sz w:val="24"/>
          <w:szCs w:val="24"/>
          <w:shd w:val="clear" w:fill="FFFFFF"/>
        </w:rPr>
        <w:t>【综合简讯】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01/</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中央重磅部署西部大开发  园林行业将迎来哪些机遇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02/</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国务院办公厅印发《关于进一步规范行业协会商会收费的通知》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i w:val="0"/>
          <w:caps w:val="0"/>
          <w:color w:val="333333"/>
          <w:spacing w:val="8"/>
          <w:sz w:val="24"/>
          <w:szCs w:val="24"/>
          <w:shd w:val="clear" w:fill="FFFFFF"/>
        </w:rPr>
      </w:pPr>
      <w:r>
        <w:rPr>
          <w:rFonts w:hint="eastAsia" w:ascii="宋体" w:hAnsi="宋体" w:eastAsia="宋体" w:cs="宋体"/>
          <w:b w:val="0"/>
          <w:i w:val="0"/>
          <w:caps w:val="0"/>
          <w:color w:val="333333"/>
          <w:spacing w:val="8"/>
          <w:sz w:val="24"/>
          <w:szCs w:val="24"/>
          <w:shd w:val="clear" w:fill="FFFFFF"/>
        </w:rPr>
        <w:t>03/</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住建部发布《工程造价改革工作方案》  工程造价将迎来大变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512" w:firstLineChars="20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取消最高投标限价按定额计价的规定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04/</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住建部印发《工程建设项目审批管理系统管理暂行办法》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05/</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江苏体育强省建设三年行动计划至2022年建成1200个城市体育公园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i w:val="0"/>
          <w:caps w:val="0"/>
          <w:color w:val="333333"/>
          <w:spacing w:val="8"/>
          <w:sz w:val="24"/>
          <w:szCs w:val="24"/>
          <w:shd w:val="clear" w:fill="FFFFFF"/>
        </w:rPr>
      </w:pPr>
      <w:r>
        <w:rPr>
          <w:rFonts w:hint="eastAsia" w:ascii="宋体" w:hAnsi="宋体" w:eastAsia="宋体" w:cs="宋体"/>
          <w:b w:val="0"/>
          <w:i w:val="0"/>
          <w:caps w:val="0"/>
          <w:color w:val="333333"/>
          <w:spacing w:val="8"/>
          <w:sz w:val="24"/>
          <w:szCs w:val="24"/>
          <w:shd w:val="clear" w:fill="FFFFFF"/>
        </w:rPr>
        <w:t>06/</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省住建厅、省发改委联合发布《关于推进房屋建筑和市政基础设施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39" w:leftChars="114" w:right="0" w:firstLine="0" w:firstLineChars="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项目工程总承包发展实施意见》 对工程总承包的资质要求、合同类型、发包时点等做出了明确规定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56" w:right="0" w:hanging="256" w:hangingChars="10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07/</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2019年度江苏省建设科技创新成果揭晓  徐州市“采矿废弃地生态修复技术标准研究”获二等奖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56" w:right="0" w:hanging="256" w:hangingChars="10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08/</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2017—2019年南京市级生态补偿资金18.84亿元 让保护者受益 让受益者补偿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56" w:right="0" w:hanging="256" w:hangingChars="10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09/</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苏州市园林绿化局发布“园林精神”：“以园弘美、以绿求卓” 让园林精神成为“内化于心、外化于行”的价值追求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10/</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汛期多雨 江苏试点海绵城市建设的地方“海绵功效”如何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11/</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团体标准：《长三角区域海绵城市绿地建设技术标准》开题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56" w:right="0" w:hanging="256" w:hangingChars="10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12/</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我省部分园林企业2019年度经营实绩  经济下行导致的投资增速下降或缩减对园林行业影响明显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13/南京：因为青山绿水被央视《新闻联播》点赞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14/国内首个智慧护栏项目在连云港投入使用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56" w:right="0" w:hanging="256" w:hangingChars="10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15</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/苏州市风景园林学会召开第八次会员代表大会 圆满完成换届改选 茅晓伟任新一届理事会理事长 衣学领任名誉理事长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Style w:val="6"/>
          <w:rFonts w:hint="eastAsia" w:ascii="宋体" w:hAnsi="宋体" w:eastAsia="宋体" w:cs="宋体"/>
          <w:i w:val="0"/>
          <w:caps w:val="0"/>
          <w:color w:val="333333"/>
          <w:spacing w:val="8"/>
          <w:sz w:val="24"/>
          <w:szCs w:val="24"/>
          <w:shd w:val="clear" w:fill="FFFFFF"/>
        </w:rPr>
        <w:t>【协会简讯】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56" w:right="0" w:hanging="256" w:hangingChars="10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16/</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省协会印发《关于开展2020年度园林绿化工程建设优秀企业工法评选工作的通知》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56" w:right="0" w:hanging="256" w:hangingChars="10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17/</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省协会印发《关于开展服务社会突出贡献企业评选活动的通知》  对贡献突出的会员单位予以表彰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56" w:right="0" w:hanging="256" w:hangingChars="10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4"/>
          <w:szCs w:val="24"/>
          <w:shd w:val="clear" w:fill="FFFFFF"/>
        </w:rPr>
        <w:t>18</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/省协会召开智慧园林课题项目研讨会 海绵型绿地技术研究纳入智慧园林课题研究范畴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b/>
          <w:bCs w:val="0"/>
          <w:spacing w:val="8"/>
        </w:rPr>
      </w:pPr>
      <w:r>
        <w:rPr>
          <w:rStyle w:val="6"/>
          <w:rFonts w:hint="eastAsia" w:ascii="宋体" w:hAnsi="宋体" w:eastAsia="宋体" w:cs="宋体"/>
          <w:b/>
          <w:bCs w:val="0"/>
          <w:i w:val="0"/>
          <w:caps w:val="0"/>
          <w:color w:val="3DA742"/>
          <w:spacing w:val="8"/>
          <w:sz w:val="28"/>
          <w:szCs w:val="28"/>
          <w:shd w:val="clear" w:fill="FFFFFF"/>
        </w:rPr>
        <w:t>中央重磅部署西部大开发  园林行业将迎来哪些机遇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b w:val="0"/>
          <w:i w:val="0"/>
          <w:caps w:val="0"/>
          <w:color w:val="333333"/>
          <w:spacing w:val="8"/>
          <w:sz w:val="21"/>
          <w:szCs w:val="21"/>
          <w:shd w:val="clear" w:fill="FFFFFF"/>
        </w:rPr>
        <w:t>近期，中共中央、国务院印发《关于新时代推进西部大开发形成新格局的指导意见》，从六大方面推出36项举措。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b w:val="0"/>
          <w:i w:val="0"/>
          <w:caps w:val="0"/>
          <w:color w:val="333333"/>
          <w:spacing w:val="8"/>
          <w:sz w:val="21"/>
          <w:szCs w:val="21"/>
          <w:shd w:val="clear" w:fill="FFFFFF"/>
        </w:rPr>
        <w:t>《指导意见》明确，强化举措抓重点、补短板、强弱项，形成大保护、大开放、高质量发展的新格局，推动经济发展质量变革、效率变革、动力变革，确保到2020年西部地区生态环境、营商环境、开放环境、创新环境明显改善，与全国一道全面建成小康社会；到2035年，西部地区基本实现社会主义现代化，基本公共服务、基础设施通达程度、人民生活水平与东部地区大体相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pPr>
      <w:r>
        <w:rPr>
          <w:rFonts w:hint="eastAsia" w:ascii="宋体" w:hAnsi="宋体" w:eastAsia="宋体" w:cs="宋体"/>
          <w:b w:val="0"/>
          <w:i w:val="0"/>
          <w:caps w:val="0"/>
          <w:color w:val="333333"/>
          <w:spacing w:val="8"/>
          <w:sz w:val="21"/>
          <w:szCs w:val="21"/>
          <w:shd w:val="clear" w:fill="FFFFFF"/>
        </w:rPr>
        <w:t>随着“升级版”西部大开发战略决策出台，西部地区有望进入又一个快速增长的通道。其中，基础设施建设仍是重点，城镇化建设将加速发展，西部沿边城市将迎来又一轮建设红利，与共建“一带一路”互相提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pPr>
      <w:r>
        <w:rPr>
          <w:rFonts w:hint="eastAsia" w:ascii="宋体" w:hAnsi="宋体" w:eastAsia="宋体" w:cs="宋体"/>
          <w:b w:val="0"/>
          <w:i w:val="0"/>
          <w:caps w:val="0"/>
          <w:color w:val="333333"/>
          <w:spacing w:val="8"/>
          <w:sz w:val="21"/>
          <w:szCs w:val="21"/>
          <w:shd w:val="clear" w:fill="FFFFFF"/>
        </w:rPr>
        <w:t>除了与交通和基础设施建设领域直接相关的建筑、家电、机械等产业将明显受益外，生态、园林、景观、文旅、康养等产业也会迎来巨大机遇。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pPr>
      <w:r>
        <w:rPr>
          <w:rFonts w:hint="eastAsia" w:ascii="宋体" w:hAnsi="宋体" w:eastAsia="宋体" w:cs="宋体"/>
          <w:b w:val="0"/>
          <w:i w:val="0"/>
          <w:caps w:val="0"/>
          <w:color w:val="333333"/>
          <w:spacing w:val="8"/>
          <w:sz w:val="21"/>
          <w:szCs w:val="21"/>
          <w:shd w:val="clear" w:fill="FFFFFF"/>
        </w:rPr>
        <w:t>《指导意见》分六个方面，包括：贯彻新发展理念，推动高质量发展；以共建“一带一路”为引领，加大西部开放力度；加大美丽西部建设力度，筑牢国家生态安全屏障；深化重点领域改革，坚定不移推动重大改革举措落实；坚持以人民为中心，把增强人民群众获得感、幸福感、安全感放到突出位置；加强政策支持和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pPr>
      <w:r>
        <w:rPr>
          <w:rFonts w:hint="eastAsia" w:ascii="宋体" w:hAnsi="宋体" w:eastAsia="宋体" w:cs="宋体"/>
          <w:b w:val="0"/>
          <w:i w:val="0"/>
          <w:caps w:val="0"/>
          <w:color w:val="333333"/>
          <w:spacing w:val="8"/>
          <w:sz w:val="21"/>
          <w:szCs w:val="21"/>
          <w:shd w:val="clear" w:fill="FFFFFF"/>
        </w:rPr>
        <w:t>《指导意见》中与生态、园林、景观、文旅等相关的内容包括：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pPr>
      <w:r>
        <w:rPr>
          <w:rFonts w:hint="eastAsia" w:ascii="宋体" w:hAnsi="宋体" w:eastAsia="宋体" w:cs="宋体"/>
          <w:b w:val="0"/>
          <w:i w:val="0"/>
          <w:caps w:val="0"/>
          <w:color w:val="333333"/>
          <w:spacing w:val="8"/>
          <w:sz w:val="21"/>
          <w:szCs w:val="21"/>
          <w:shd w:val="clear" w:fill="FFFFFF"/>
        </w:rPr>
        <w:t>一、实施重点生态工程。进一步加大水土保持、天然林保护、退耕还林还草、退牧还草、重点防护林体系建设等重点生态工程实施力度，开展国土绿化行动，稳步推进自然保护地体系建设和湿地保护修复，展现大美西部新面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pPr>
      <w:r>
        <w:rPr>
          <w:rFonts w:hint="eastAsia" w:ascii="宋体" w:hAnsi="宋体" w:eastAsia="宋体" w:cs="宋体"/>
          <w:b w:val="0"/>
          <w:i w:val="0"/>
          <w:caps w:val="0"/>
          <w:color w:val="333333"/>
          <w:spacing w:val="8"/>
          <w:sz w:val="21"/>
          <w:szCs w:val="21"/>
          <w:shd w:val="clear" w:fill="FFFFFF"/>
        </w:rPr>
        <w:t>二、发展旅游休闲、健康养生等成为支柱产业。支持西部地区发挥生态、民族民俗、边境风光等优势，深化旅游资源开放、信息共享、行业监管、公共服务、标准化服务等方面国际合作，提升旅游服务水平。依托风景名胜区、边境旅游试验区等，发展旅游休闲、健康养生等服务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pPr>
      <w:r>
        <w:rPr>
          <w:rFonts w:hint="eastAsia" w:ascii="宋体" w:hAnsi="宋体" w:eastAsia="宋体" w:cs="宋体"/>
          <w:b w:val="0"/>
          <w:i w:val="0"/>
          <w:caps w:val="0"/>
          <w:color w:val="333333"/>
          <w:spacing w:val="8"/>
          <w:sz w:val="21"/>
          <w:szCs w:val="21"/>
          <w:shd w:val="clear" w:fill="FFFFFF"/>
        </w:rPr>
        <w:t>三、促进城乡融合。在加强保护基础上盘活农村历史文化资源，形成具有地域和民族特色的乡村文化产业和品牌。因地制宜优化城镇化布局与形态，提升并发挥国家和区域中心城市功能作用，推动城市群高质量发展和大中小城市网络化建设，培育发展一批特色小城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pPr>
      <w:r>
        <w:rPr>
          <w:rFonts w:hint="eastAsia" w:ascii="宋体" w:hAnsi="宋体" w:eastAsia="宋体" w:cs="宋体"/>
          <w:b w:val="0"/>
          <w:i w:val="0"/>
          <w:caps w:val="0"/>
          <w:color w:val="333333"/>
          <w:spacing w:val="8"/>
          <w:sz w:val="21"/>
          <w:szCs w:val="21"/>
          <w:shd w:val="clear" w:fill="FFFFFF"/>
        </w:rPr>
        <w:t>四、融入“一带一路”建设。支持重庆、四川、陕西打造内陆开放高地和开发开放枢纽。支持甘肃、陕西发挥丝绸之路经济带重要通道、节点作用。支持贵州、青海深化国内外生态合作，推动绿色丝绸之路建设。支持内蒙古深度参与中蒙俄经济走廊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pPr>
      <w:r>
        <w:rPr>
          <w:rFonts w:hint="eastAsia" w:ascii="宋体" w:hAnsi="宋体" w:eastAsia="宋体" w:cs="宋体"/>
          <w:b w:val="0"/>
          <w:i w:val="0"/>
          <w:caps w:val="0"/>
          <w:color w:val="333333"/>
          <w:spacing w:val="8"/>
          <w:sz w:val="21"/>
          <w:szCs w:val="21"/>
          <w:shd w:val="clear" w:fill="FFFFFF"/>
        </w:rPr>
        <w:t>五、交通基础设施是重点。加快川藏铁路、沿江高铁、渝昆高铁、西（宁）成（都）铁路等重大工程规划建设。打通断头路、瓶颈路，加强出海、扶贫通道和旅游交通基础设施建设。加强航空口岸和枢纽建设，扩大枢纽机场航权，发展通用航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pPr>
      <w:r>
        <w:rPr>
          <w:rFonts w:hint="eastAsia" w:ascii="宋体" w:hAnsi="宋体" w:eastAsia="宋体" w:cs="宋体"/>
          <w:b w:val="0"/>
          <w:i w:val="0"/>
          <w:caps w:val="0"/>
          <w:color w:val="333333"/>
          <w:spacing w:val="8"/>
          <w:sz w:val="21"/>
          <w:szCs w:val="21"/>
          <w:shd w:val="clear" w:fill="FFFFFF"/>
        </w:rPr>
        <w:t>六、强化公共文化体育服务。完善公共文化服务设施网络，强化数字技术运用，推动文化惠民工程整合创新、提档升级，加强公共体育场馆建设。□</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sz w:val="28"/>
          <w:szCs w:val="28"/>
        </w:rPr>
      </w:pPr>
      <w:r>
        <w:rPr>
          <w:rStyle w:val="6"/>
          <w:rFonts w:hint="eastAsia" w:ascii="宋体" w:hAnsi="宋体" w:eastAsia="宋体" w:cs="宋体"/>
          <w:i w:val="0"/>
          <w:caps w:val="0"/>
          <w:color w:val="3DA742"/>
          <w:spacing w:val="8"/>
          <w:sz w:val="28"/>
          <w:szCs w:val="28"/>
          <w:shd w:val="clear" w:fill="FFFFFF"/>
        </w:rPr>
        <w:t>国务院办公厅印发《关于进一步规范行业协会商会收费的通知》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近日，国务院办公厅印发《关于进一步规范行业协会商会收费的通知》（国办发〔2020〕21号）（以下简称《通知》）。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通知》指出，要坚持以习近平新时代中国特色社会主义思想为指导，深入贯彻落实党的十九大和十九届二中、三中、四中全会精神，持续深化“放管服”改革，针对部分行业协会商会乱收费和监管不到位等突出问题，从严监管、综合施策、标本兼治，全面规范各类收费行为，进一步完善监管机制，做到对违法违规收费“零容忍”，促进行业协会商会健康有序发展。</w:t>
      </w:r>
      <w:r>
        <w:rPr>
          <w:rFonts w:hint="eastAsia" w:ascii="宋体" w:hAnsi="宋体" w:eastAsia="宋体" w:cs="宋体"/>
          <w:b w:val="0"/>
          <w:i w:val="0"/>
          <w:caps w:val="0"/>
          <w:color w:val="333333"/>
          <w:spacing w:val="8"/>
          <w:sz w:val="21"/>
          <w:szCs w:val="21"/>
          <w:shd w:val="clear" w:fill="FFFFFF"/>
        </w:rPr>
        <w:t>□</w:t>
      </w:r>
    </w:p>
    <w:p>
      <w:pPr>
        <w:keepNext w:val="0"/>
        <w:keepLines w:val="0"/>
        <w:widowControl/>
        <w:suppressLineNumbers w:val="0"/>
        <w:spacing w:before="0" w:beforeAutospacing="0" w:after="0" w:afterAutospacing="0"/>
        <w:ind w:left="0" w:right="0"/>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pacing w:val="8"/>
          <w:sz w:val="28"/>
          <w:szCs w:val="28"/>
        </w:rPr>
      </w:pPr>
      <w:r>
        <w:rPr>
          <w:rStyle w:val="6"/>
          <w:rFonts w:hint="eastAsia" w:ascii="宋体" w:hAnsi="宋体" w:eastAsia="宋体" w:cs="宋体"/>
          <w:i w:val="0"/>
          <w:caps w:val="0"/>
          <w:color w:val="3DA742"/>
          <w:spacing w:val="8"/>
          <w:sz w:val="28"/>
          <w:szCs w:val="28"/>
          <w:shd w:val="clear" w:fill="FFFFFF"/>
        </w:rPr>
        <w:t>住建部发布《工程造价改革工作方案》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pacing w:val="8"/>
          <w:sz w:val="28"/>
          <w:szCs w:val="28"/>
        </w:rPr>
      </w:pPr>
      <w:r>
        <w:rPr>
          <w:rStyle w:val="6"/>
          <w:rFonts w:hint="eastAsia" w:ascii="宋体" w:hAnsi="宋体" w:eastAsia="宋体" w:cs="宋体"/>
          <w:i w:val="0"/>
          <w:caps w:val="0"/>
          <w:color w:val="3DA742"/>
          <w:spacing w:val="8"/>
          <w:sz w:val="28"/>
          <w:szCs w:val="28"/>
          <w:shd w:val="clear" w:fill="FFFFFF"/>
        </w:rPr>
        <w:t>工程造价将迎来大变 取消最高投标限价按定额计价的规定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7月24日，住建部办公厅印发《工程造价改革工作方案》的通知。《通知》称，工程造价、质量、进度是工程建设管理的三大核心要素。改革开放以来，工程造价管理坚持市场化改革方向，在工程发承包计价环节探索引入竞争机制，全面推行工程量清单计价，各项制度不断完善。但还存在定额等计价依据不能很好满足市场需要，造价信息服务水平不高，造价形成机制不够科学等问题。为充分发挥市场在资源配置中的决定性作用，促进建筑业转型升级，制定本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36" w:firstLine="435"/>
        <w:jc w:val="both"/>
      </w:pPr>
      <w:r>
        <w:rPr>
          <w:rFonts w:hint="eastAsia" w:ascii="宋体" w:hAnsi="宋体" w:eastAsia="宋体" w:cs="宋体"/>
          <w:b w:val="0"/>
          <w:i w:val="0"/>
          <w:caps w:val="0"/>
          <w:color w:val="333333"/>
          <w:spacing w:val="0"/>
          <w:sz w:val="21"/>
          <w:szCs w:val="21"/>
          <w:shd w:val="clear" w:fill="FFFFFF"/>
        </w:rPr>
        <w:t>《方案》要点如下：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36" w:firstLine="435"/>
        <w:jc w:val="both"/>
      </w:pPr>
      <w:r>
        <w:rPr>
          <w:rFonts w:hint="eastAsia" w:ascii="宋体" w:hAnsi="宋体" w:eastAsia="宋体" w:cs="宋体"/>
          <w:b w:val="0"/>
          <w:i w:val="0"/>
          <w:caps w:val="0"/>
          <w:color w:val="333333"/>
          <w:spacing w:val="0"/>
          <w:sz w:val="21"/>
          <w:szCs w:val="21"/>
          <w:shd w:val="clear" w:fill="FFFFFF"/>
        </w:rPr>
        <w:t>——通过改进工程计量和计价规则、完善工程计价依据发布机制、加强工程造价数据积累、强化建设单位造价管控责任、严格施工合同履约管理等措施，推行清单计量、市场询价、自主报价、竞争定价的工程计价方式，进一步完善工程造价市场形成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36" w:firstLine="435"/>
        <w:jc w:val="both"/>
      </w:pPr>
      <w:r>
        <w:rPr>
          <w:rFonts w:hint="eastAsia" w:ascii="宋体" w:hAnsi="宋体" w:eastAsia="宋体" w:cs="宋体"/>
          <w:b w:val="0"/>
          <w:i w:val="0"/>
          <w:caps w:val="0"/>
          <w:color w:val="333333"/>
          <w:spacing w:val="0"/>
          <w:sz w:val="21"/>
          <w:szCs w:val="21"/>
          <w:shd w:val="clear" w:fill="FFFFFF"/>
        </w:rPr>
        <w:t>——改进工程计量和计价规则。修订工程量计算规范，统一工程项目划分、特征描述、计量规则和计算口径。修订工程量清单计价规范，统一工程费用组成和计价规则。通过建立更加科学合理的计量和计价规则。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完善工程计价依据发布机制。优化概算定额、估算指标编制发布和动态管理，取消最高投标限价按定额计价的规定，逐步停止发布预算定额。搭建市场价格信息发布平台，统一信息发布标准和规则，鼓励企事业单位通过信息平台发布各自的人工、材料、机械台班市场价格信息，供市场主体选择。加强市场价格信息发布行为监管，严格信息发布单位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36" w:firstLine="435"/>
        <w:jc w:val="both"/>
      </w:pPr>
      <w:r>
        <w:rPr>
          <w:rFonts w:hint="eastAsia" w:ascii="宋体" w:hAnsi="宋体" w:eastAsia="宋体" w:cs="宋体"/>
          <w:b w:val="0"/>
          <w:i w:val="0"/>
          <w:caps w:val="0"/>
          <w:color w:val="333333"/>
          <w:spacing w:val="0"/>
          <w:sz w:val="21"/>
          <w:szCs w:val="21"/>
          <w:shd w:val="clear" w:fill="FFFFFF"/>
        </w:rPr>
        <w:t>——加强工程造价数据积累。利用大数据、人工智能等信息化技术为概预算编制提供依据，加快推进工程总承包和全过程工程咨询。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36" w:firstLine="435"/>
        <w:jc w:val="both"/>
      </w:pPr>
      <w:r>
        <w:rPr>
          <w:rFonts w:hint="eastAsia" w:ascii="宋体" w:hAnsi="宋体" w:eastAsia="宋体" w:cs="宋体"/>
          <w:b w:val="0"/>
          <w:i w:val="0"/>
          <w:caps w:val="0"/>
          <w:color w:val="333333"/>
          <w:spacing w:val="0"/>
          <w:sz w:val="21"/>
          <w:szCs w:val="21"/>
          <w:shd w:val="clear" w:fill="FFFFFF"/>
        </w:rPr>
        <w:t>——强化建设单位造价管控责任。引导建设单位根据工程造价数据库、造价指标指数和市场价格信息等编制和确定最高投标限价。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36" w:firstLine="435"/>
        <w:jc w:val="both"/>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0"/>
          <w:sz w:val="21"/>
          <w:szCs w:val="21"/>
          <w:shd w:val="clear" w:fill="FFFFFF"/>
        </w:rPr>
        <w:t>——严格施工合同履约管理。加强工程施工合同履约和价款支付监管，引导发承包双方严格按照合同约定开展工程款支付和结算，全面推行施工过程价款结算和支付。</w:t>
      </w:r>
      <w:r>
        <w:rPr>
          <w:rFonts w:hint="eastAsia" w:ascii="宋体" w:hAnsi="宋体" w:eastAsia="宋体" w:cs="宋体"/>
          <w:b w:val="0"/>
          <w:i w:val="0"/>
          <w:caps w:val="0"/>
          <w:color w:val="333333"/>
          <w:spacing w:val="8"/>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36" w:firstLine="435"/>
        <w:jc w:val="both"/>
        <w:rPr>
          <w:rFonts w:hint="eastAsia" w:ascii="宋体" w:hAnsi="宋体" w:eastAsia="宋体" w:cs="宋体"/>
          <w:b w:val="0"/>
          <w:i w:val="0"/>
          <w:caps w:val="0"/>
          <w:color w:val="333333"/>
          <w:spacing w:val="8"/>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rPr>
      </w:pPr>
      <w:r>
        <w:rPr>
          <w:rStyle w:val="6"/>
          <w:rFonts w:hint="eastAsia" w:ascii="宋体" w:hAnsi="宋体" w:eastAsia="宋体" w:cs="宋体"/>
          <w:i w:val="0"/>
          <w:caps w:val="0"/>
          <w:color w:val="3DA742"/>
          <w:spacing w:val="8"/>
          <w:sz w:val="28"/>
          <w:szCs w:val="28"/>
          <w:shd w:val="clear" w:fill="FFFFFF"/>
        </w:rPr>
        <w:t>住建部印发《工程建设项目审批管理系统管理暂行办法》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为规范工程建设项目审批管理系统建设运行管理、深入推进工程建设项目审批制度改革，按照《国务院办公厅关于全面开展工程建设项目审批制度改革的实施意见》部署要求，住建部制定了《工程建设项目审批管理系统管理暂行办法》，并于日前印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《暂行办法》包括总则、系统功能与工作体系、系统运行管理、监督管理、运行保障、附则6章共37条内容。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暂行办法》中所称工程建设项目审批管理系统分为国家、省（自治区）、城市工程建设项目审批管理系统，覆盖从立项到竣工验收和公共设施接入服务全过程所有审批、服务和管理事项，包括行政许可、备案、评估评价、技术审查、日常监管、中介服务、市政公用服务等。除特殊工程和交通、水利、能源等领域的重大工程外，房屋建筑、城市基础设施等工程建设项目均应纳入工程建设项目审批管理系统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住建部要求，各地要以更好更快方便企业和群众办事为导向，切实落实工程建设项目审批管理系统建设运行管理相关各方责任，健全工作机制，加强部门协同，持续完善系统功能，落实各项改革措施，做好与投资项目在线审批监管平台等相关信息系统互联互通、信息共享工作，着力推进工程建设项目全程网上办理，提升审批服务效能，加快形成网上网下一体化审批和管理体系，保障企业复工复产和工程建设项目顺利实施。</w:t>
      </w:r>
      <w:r>
        <w:rPr>
          <w:rFonts w:hint="eastAsia" w:ascii="宋体" w:hAnsi="宋体" w:eastAsia="宋体" w:cs="宋体"/>
          <w:b w:val="0"/>
          <w:i w:val="0"/>
          <w:caps w:val="0"/>
          <w:color w:val="333333"/>
          <w:spacing w:val="8"/>
          <w:sz w:val="21"/>
          <w:szCs w:val="21"/>
          <w:shd w:val="clear" w:fill="FFFFFF"/>
        </w:rPr>
        <w:t>□</w:t>
      </w:r>
    </w:p>
    <w:p>
      <w:pPr>
        <w:keepNext w:val="0"/>
        <w:keepLines w:val="0"/>
        <w:widowControl/>
        <w:suppressLineNumbers w:val="0"/>
        <w:spacing w:before="0" w:beforeAutospacing="0" w:after="0" w:afterAutospacing="0"/>
        <w:ind w:left="0" w:right="0"/>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pacing w:val="8"/>
        </w:rPr>
      </w:pPr>
      <w:r>
        <w:rPr>
          <w:rStyle w:val="6"/>
          <w:rFonts w:hint="eastAsia" w:ascii="宋体" w:hAnsi="宋体" w:eastAsia="宋体" w:cs="宋体"/>
          <w:i w:val="0"/>
          <w:caps w:val="0"/>
          <w:color w:val="3DA742"/>
          <w:spacing w:val="8"/>
          <w:sz w:val="28"/>
          <w:szCs w:val="28"/>
          <w:shd w:val="clear" w:fill="FFFFFF"/>
        </w:rPr>
        <w:t>江苏体育强省建设三年行动计划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pacing w:val="8"/>
        </w:rPr>
      </w:pPr>
      <w:r>
        <w:rPr>
          <w:rStyle w:val="6"/>
          <w:rFonts w:hint="eastAsia" w:ascii="宋体" w:hAnsi="宋体" w:eastAsia="宋体" w:cs="宋体"/>
          <w:i w:val="0"/>
          <w:caps w:val="0"/>
          <w:color w:val="3DA742"/>
          <w:spacing w:val="8"/>
          <w:sz w:val="28"/>
          <w:szCs w:val="28"/>
          <w:shd w:val="clear" w:fill="FFFFFF"/>
        </w:rPr>
        <w:t>至2022年建成1200个城市体育公园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7月8日，省政府办公厅公布了《江苏省贯彻体育强国建设纲要实施方案》以及《体育强省建设三年行动计划（2020－2022年）》。到2022年，江苏要形成政府主导有力、社会广泛参与、市场充满活力的开放融合的体育发展新格局，人民群众身体素养和健康水平持续提高，体育对经济社会发展的贡献度和影响力不断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三年行动计划中提到，合理利用城市空置场所等，建成1200个有一定规模、服务功能较为完善的体育公园，健身步道总里程达1.3万公里，人均体育场地面积达到2.9平方米。</w:t>
      </w:r>
      <w:r>
        <w:rPr>
          <w:rFonts w:hint="eastAsia" w:ascii="宋体" w:hAnsi="宋体" w:eastAsia="宋体" w:cs="宋体"/>
          <w:b w:val="0"/>
          <w:i w:val="0"/>
          <w:caps w:val="0"/>
          <w:color w:val="333333"/>
          <w:spacing w:val="8"/>
          <w:sz w:val="21"/>
          <w:szCs w:val="21"/>
          <w:shd w:val="clear" w:fill="FFFFFF"/>
        </w:rPr>
        <w:t>□</w:t>
      </w:r>
    </w:p>
    <w:p>
      <w:pPr>
        <w:keepNext w:val="0"/>
        <w:keepLines w:val="0"/>
        <w:widowControl/>
        <w:suppressLineNumbers w:val="0"/>
        <w:spacing w:before="0" w:beforeAutospacing="0" w:after="0" w:afterAutospacing="0"/>
        <w:ind w:left="0" w:right="0"/>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center"/>
        <w:textAlignment w:val="auto"/>
        <w:rPr>
          <w:rStyle w:val="6"/>
          <w:rFonts w:hint="eastAsia" w:ascii="宋体" w:hAnsi="宋体" w:eastAsia="宋体" w:cs="宋体"/>
          <w:i w:val="0"/>
          <w:caps w:val="0"/>
          <w:color w:val="3DA742"/>
          <w:spacing w:val="8"/>
          <w:sz w:val="28"/>
          <w:szCs w:val="28"/>
          <w:shd w:val="clear" w:fill="FFFFFF"/>
        </w:rPr>
      </w:pPr>
      <w:r>
        <w:rPr>
          <w:rStyle w:val="6"/>
          <w:rFonts w:hint="eastAsia" w:ascii="宋体" w:hAnsi="宋体" w:eastAsia="宋体" w:cs="宋体"/>
          <w:i w:val="0"/>
          <w:caps w:val="0"/>
          <w:color w:val="3DA742"/>
          <w:spacing w:val="8"/>
          <w:sz w:val="28"/>
          <w:szCs w:val="28"/>
          <w:shd w:val="clear" w:fill="FFFFFF"/>
        </w:rPr>
        <w:t>省住建厅、省发改委联合发布《关于推进房屋建筑和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center"/>
        <w:textAlignment w:val="auto"/>
        <w:rPr>
          <w:rStyle w:val="6"/>
          <w:rFonts w:hint="eastAsia" w:ascii="宋体" w:hAnsi="宋体" w:eastAsia="宋体" w:cs="宋体"/>
          <w:i w:val="0"/>
          <w:caps w:val="0"/>
          <w:color w:val="3DA742"/>
          <w:spacing w:val="8"/>
          <w:sz w:val="28"/>
          <w:szCs w:val="28"/>
          <w:shd w:val="clear" w:fill="FFFFFF"/>
        </w:rPr>
      </w:pPr>
      <w:r>
        <w:rPr>
          <w:rStyle w:val="6"/>
          <w:rFonts w:hint="eastAsia" w:ascii="宋体" w:hAnsi="宋体" w:eastAsia="宋体" w:cs="宋体"/>
          <w:i w:val="0"/>
          <w:caps w:val="0"/>
          <w:color w:val="3DA742"/>
          <w:spacing w:val="8"/>
          <w:sz w:val="28"/>
          <w:szCs w:val="28"/>
          <w:shd w:val="clear" w:fill="FFFFFF"/>
        </w:rPr>
        <w:t>市政基础设施项目工程总承包发展实施意见》</w:t>
      </w:r>
      <w:r>
        <w:rPr>
          <w:rStyle w:val="6"/>
          <w:rFonts w:hint="eastAsia" w:ascii="宋体" w:hAnsi="宋体" w:eastAsia="宋体" w:cs="宋体"/>
          <w:i w:val="0"/>
          <w:caps w:val="0"/>
          <w:color w:val="3DA742"/>
          <w:spacing w:val="8"/>
          <w:sz w:val="28"/>
          <w:szCs w:val="28"/>
          <w:shd w:val="clear" w:fill="FFFFFF"/>
          <w:lang w:val="en-US" w:eastAsia="zh-CN"/>
        </w:rPr>
        <w:t xml:space="preserve"> </w:t>
      </w:r>
      <w:r>
        <w:rPr>
          <w:rStyle w:val="6"/>
          <w:rFonts w:hint="eastAsia" w:ascii="宋体" w:hAnsi="宋体" w:eastAsia="宋体" w:cs="宋体"/>
          <w:i w:val="0"/>
          <w:caps w:val="0"/>
          <w:color w:val="3DA742"/>
          <w:spacing w:val="8"/>
          <w:sz w:val="28"/>
          <w:szCs w:val="28"/>
          <w:shd w:val="clear" w:fill="FFFFFF"/>
        </w:rPr>
        <w:t>对工程总承包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pacing w:val="8"/>
        </w:rPr>
      </w:pPr>
      <w:r>
        <w:rPr>
          <w:rStyle w:val="6"/>
          <w:rFonts w:hint="eastAsia" w:ascii="宋体" w:hAnsi="宋体" w:eastAsia="宋体" w:cs="宋体"/>
          <w:i w:val="0"/>
          <w:caps w:val="0"/>
          <w:color w:val="3DA742"/>
          <w:spacing w:val="8"/>
          <w:sz w:val="28"/>
          <w:szCs w:val="28"/>
          <w:shd w:val="clear" w:fill="FFFFFF"/>
        </w:rPr>
        <w:t>的资质要求、合同类型、发包时点等做出了明确规定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pPr>
      <w:r>
        <w:rPr>
          <w:rFonts w:hint="eastAsia" w:ascii="宋体" w:hAnsi="宋体" w:eastAsia="宋体" w:cs="宋体"/>
          <w:b w:val="0"/>
          <w:i w:val="0"/>
          <w:caps w:val="0"/>
          <w:color w:val="333333"/>
          <w:spacing w:val="0"/>
          <w:sz w:val="21"/>
          <w:szCs w:val="21"/>
          <w:shd w:val="clear" w:fill="FFFFFF"/>
        </w:rPr>
        <w:t> 近日，江苏省住建厅和发改委联合发布了《关于推进房屋建筑和市政基础设施项目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pPr>
      <w:r>
        <w:rPr>
          <w:rFonts w:hint="eastAsia" w:ascii="宋体" w:hAnsi="宋体" w:eastAsia="宋体" w:cs="宋体"/>
          <w:b w:val="0"/>
          <w:i w:val="0"/>
          <w:caps w:val="0"/>
          <w:color w:val="333333"/>
          <w:spacing w:val="0"/>
          <w:sz w:val="21"/>
          <w:szCs w:val="21"/>
          <w:shd w:val="clear" w:fill="FFFFFF"/>
        </w:rPr>
        <w:t>工程总承包发展的实施意见》（苏建规字〔2020〕5号），对工程总承包的资质要求、合同类型、发包时点等做出了明确规定。自2020年8月23日施行。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实施意见》指出：为进一步提升我省建设工程质量、提高工程管理效率和水平，增强建筑业企业综合实力和核心竞争力，加快我省建筑业转型升级，根据国务院办公厅《关于促进建筑业持续健康发展的意见》（国办发〔2017〕19号）、《省政府关于促进建筑业改革发展的意见》（苏政发〔2017〕151号）精神和住房城乡建设部《关于进一步推进工程总承包发展的若干意见》（建市〔2016〕93号）要求，现就认真贯彻落实住房城乡建设部、国家发展改革委《关于印发房屋建筑和市政基础设施项目工程总承包管理办法的通知》（建市规〔2019〕12号，以下简称《通知》），积极推动工程建设组织方式改革，推进我省房屋建筑和市政基础设施项目工程总承包发展提出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实施意见》技术内容包括：1.明确基本原则和工作目标；2.发挥示范引领作用；3.培育工程总承包单位；4.培养工程总承包管理人才；5.规范工程总承包招投标活动；6.加强工程总承包合同价格管理；7.推广建筑信息模型（BIM）技术应用；8.完善工程总承包风险防范机制；9.强化工程总承包实施监督管理；10.加强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《实施意见》明确：各地每年要明确不少于20%的国有资金投资占主导的项目实施工程总承包。至2025年，政府投资装配式建筑项目全部采用工程总承包方式，全省培育发展200家以上具有工程总承包能力的单位。</w:t>
      </w:r>
      <w:r>
        <w:rPr>
          <w:rFonts w:hint="eastAsia" w:ascii="宋体" w:hAnsi="宋体" w:eastAsia="宋体" w:cs="宋体"/>
          <w:b w:val="0"/>
          <w:i w:val="0"/>
          <w:caps w:val="0"/>
          <w:color w:val="333333"/>
          <w:spacing w:val="8"/>
          <w:sz w:val="21"/>
          <w:szCs w:val="21"/>
          <w:shd w:val="clear" w:fill="FFFFFF"/>
        </w:rPr>
        <w:t>□</w:t>
      </w:r>
    </w:p>
    <w:p>
      <w:pPr>
        <w:keepNext w:val="0"/>
        <w:keepLines w:val="0"/>
        <w:widowControl/>
        <w:suppressLineNumbers w:val="0"/>
        <w:spacing w:before="0" w:beforeAutospacing="0" w:after="0" w:afterAutospacing="0"/>
        <w:ind w:left="0" w:right="0"/>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pacing w:val="8"/>
        </w:rPr>
      </w:pPr>
      <w:r>
        <w:rPr>
          <w:rStyle w:val="6"/>
          <w:rFonts w:hint="eastAsia" w:ascii="宋体" w:hAnsi="宋体" w:eastAsia="宋体" w:cs="宋体"/>
          <w:i w:val="0"/>
          <w:caps w:val="0"/>
          <w:color w:val="3DA742"/>
          <w:spacing w:val="8"/>
          <w:sz w:val="28"/>
          <w:szCs w:val="28"/>
          <w:shd w:val="clear" w:fill="FFFFFF"/>
        </w:rPr>
        <w:t>2019年度江苏省建设科技创新成果揭晓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pacing w:val="8"/>
        </w:rPr>
      </w:pPr>
      <w:r>
        <w:rPr>
          <w:rStyle w:val="6"/>
          <w:rFonts w:hint="eastAsia" w:ascii="宋体" w:hAnsi="宋体" w:eastAsia="宋体" w:cs="宋体"/>
          <w:i w:val="0"/>
          <w:caps w:val="0"/>
          <w:color w:val="3DA742"/>
          <w:spacing w:val="8"/>
          <w:sz w:val="28"/>
          <w:szCs w:val="28"/>
          <w:shd w:val="clear" w:fill="FFFFFF"/>
        </w:rPr>
        <w:t>徐州市“采矿废弃地生态修复技术标准研究”获二等奖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近日，2019年度江苏省建设科技创新成果揭晓，徐州市“采矿废弃地生态修复技术标准研究”获二等奖。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为进一步推动全省建设科技创新，加快建设科技成果转化，促进城乡建设高质量发展，江苏省住房和城乡建设厅组织开展了2019年度省建设科技创新成果评选工作。经推荐、评审、公示、审定等程序，最终确定了22项省建设科技创新成果，其中，一等奖3项，二等奖7项，三等奖12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本次评选创新建立了推荐制度，进一步完善了公示制度，并新增了答辩环节，提高了评选透明度，规范了评审流程，确保评选工作的公开公平公正。评选结果突出企业建设科技创新工作，致力绿色发展和民生问题，获奖项目中由企业主持完成的共17项，占比77.3%，绿色建筑、保障性住房和居住环境改善等成果共8项，占比36.3%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徐州市“采矿废弃地生态修复技术标准研究”获二等奖。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承担单位：徐州市徐派园林研究院、中国城市建设研究院有限公司、南京林业大学、徐州市文化旅游集团有限公司、徐州市住房和城乡建设局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项目完成人：秦飞、王香春、董彬、种宁利、李旭冉、申晨、杨龙、杨学民。□</w:t>
      </w:r>
    </w:p>
    <w:p>
      <w:pPr>
        <w:keepNext w:val="0"/>
        <w:keepLines w:val="0"/>
        <w:widowControl/>
        <w:suppressLineNumbers w:val="0"/>
        <w:spacing w:before="0" w:beforeAutospacing="0" w:after="0" w:afterAutospacing="0"/>
        <w:ind w:left="0" w:right="0"/>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pacing w:val="8"/>
        </w:rPr>
      </w:pPr>
      <w:r>
        <w:rPr>
          <w:rStyle w:val="6"/>
          <w:rFonts w:hint="eastAsia" w:ascii="宋体" w:hAnsi="宋体" w:eastAsia="宋体" w:cs="宋体"/>
          <w:i w:val="0"/>
          <w:caps w:val="0"/>
          <w:color w:val="3DA742"/>
          <w:spacing w:val="8"/>
          <w:sz w:val="28"/>
          <w:szCs w:val="28"/>
          <w:shd w:val="clear" w:fill="FFFFFF"/>
        </w:rPr>
        <w:t>2017—2019年南京市级生态补偿资金18.84亿元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pacing w:val="8"/>
        </w:rPr>
      </w:pPr>
      <w:r>
        <w:rPr>
          <w:rStyle w:val="6"/>
          <w:rFonts w:hint="eastAsia" w:ascii="宋体" w:hAnsi="宋体" w:eastAsia="宋体" w:cs="宋体"/>
          <w:i w:val="0"/>
          <w:caps w:val="0"/>
          <w:color w:val="3DA742"/>
          <w:spacing w:val="8"/>
          <w:sz w:val="28"/>
          <w:szCs w:val="28"/>
          <w:shd w:val="clear" w:fill="FFFFFF"/>
        </w:rPr>
        <w:t>让保护者受益  受益者补偿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left"/>
      </w:pPr>
      <w:r>
        <w:rPr>
          <w:rFonts w:hint="eastAsia" w:ascii="宋体" w:hAnsi="宋体" w:eastAsia="宋体" w:cs="宋体"/>
          <w:b w:val="0"/>
          <w:i w:val="0"/>
          <w:caps w:val="0"/>
          <w:color w:val="333333"/>
          <w:spacing w:val="0"/>
          <w:sz w:val="21"/>
          <w:szCs w:val="21"/>
          <w:shd w:val="clear" w:fill="FFFFFF"/>
        </w:rPr>
        <w:t>近两年南京市生态保护补偿市级资金分配规模达18.84亿元，在国内城市中保持领先水平。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left"/>
      </w:pPr>
      <w:r>
        <w:rPr>
          <w:rFonts w:hint="eastAsia" w:ascii="宋体" w:hAnsi="宋体" w:eastAsia="宋体" w:cs="宋体"/>
          <w:b w:val="0"/>
          <w:i w:val="0"/>
          <w:caps w:val="0"/>
          <w:color w:val="333333"/>
          <w:spacing w:val="0"/>
          <w:sz w:val="21"/>
          <w:szCs w:val="21"/>
          <w:shd w:val="clear" w:fill="FFFFFF"/>
        </w:rPr>
        <w:t>该市为进一步推进生态文明建设，贯彻落实好《南京市生态保护补偿办法》，近期市发改委组织市财政局、生态环境局、规划和自然资源局、农业农村局、绿化园林局和水务局召开市生态保护补偿工作联席会议，通报了2019年度南京市生态保护补偿工作评估情况，讨论了生态保护补偿工作中存在的薄弱环节及解决对策，并对2020年度生态补偿资金分配方案进行了专题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33333"/>
          <w:spacing w:val="0"/>
          <w:sz w:val="21"/>
          <w:szCs w:val="21"/>
          <w:shd w:val="clear" w:fill="FFFFFF"/>
        </w:rPr>
        <w:t>2016年9月，南京市政府公布了《南京市生态保护补偿办法》，成立了由市发改委牵头的生态保护补偿联席工作机制。按照“保护者受益、受益者补偿”的原则，重点补偿生态红线区域、耕地、公益林、水利风景区等重点生态功能区。实行至今，该市逐渐形成了补偿覆盖范围广、补偿方式有拓展、补偿工作有平台支撑等特色亮点。2017—2019年，该市生态保护补偿市级资金分配规模达18.84亿元，市级生态补偿资金规模位居国内城市前列，有效调动了全社会参与生态环境保护的积极性。</w:t>
      </w:r>
      <w:r>
        <w:rPr>
          <w:rFonts w:hint="eastAsia" w:ascii="宋体" w:hAnsi="宋体" w:eastAsia="宋体" w:cs="宋体"/>
          <w:b w:val="0"/>
          <w:i w:val="0"/>
          <w:caps w:val="0"/>
          <w:color w:val="333333"/>
          <w:spacing w:val="8"/>
          <w:sz w:val="21"/>
          <w:szCs w:val="21"/>
          <w:shd w:val="clear" w:fill="FFFFFF"/>
        </w:rPr>
        <w:t>□</w:t>
      </w:r>
    </w:p>
    <w:p>
      <w:pPr>
        <w:keepNext w:val="0"/>
        <w:keepLines w:val="0"/>
        <w:widowControl/>
        <w:suppressLineNumbers w:val="0"/>
        <w:spacing w:before="0" w:beforeAutospacing="0" w:after="0" w:afterAutospacing="0"/>
        <w:ind w:left="0" w:right="0"/>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pacing w:val="8"/>
        </w:rPr>
      </w:pPr>
      <w:r>
        <w:rPr>
          <w:rStyle w:val="6"/>
          <w:rFonts w:hint="eastAsia" w:ascii="宋体" w:hAnsi="宋体" w:eastAsia="宋体" w:cs="宋体"/>
          <w:i w:val="0"/>
          <w:caps w:val="0"/>
          <w:color w:val="3DA742"/>
          <w:spacing w:val="8"/>
          <w:sz w:val="28"/>
          <w:szCs w:val="28"/>
          <w:shd w:val="clear" w:fill="FFFFFF"/>
        </w:rPr>
        <w:t>苏州市园林绿化局发布“园林精神”：“以园弘美、以绿求卓”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pacing w:val="8"/>
        </w:rPr>
      </w:pPr>
      <w:r>
        <w:rPr>
          <w:rStyle w:val="6"/>
          <w:rFonts w:hint="eastAsia" w:ascii="宋体" w:hAnsi="宋体" w:eastAsia="宋体" w:cs="宋体"/>
          <w:i w:val="0"/>
          <w:caps w:val="0"/>
          <w:color w:val="3DA742"/>
          <w:spacing w:val="8"/>
          <w:sz w:val="28"/>
          <w:szCs w:val="28"/>
          <w:shd w:val="clear" w:fill="FFFFFF"/>
        </w:rPr>
        <w:t>让园林精神成为“内化于心、外化于行”的价值追求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一个行业、一个领域、一个单位的精神口号，虽寥寥数字，却蕴含着巨大量能，提炼“精神”是一项重要的文化建设工程。7月16日，苏州市园林和绿化管理局正式发布苏州市园林和绿化管理局精神：“以园弘美、以绿求卓”，旨在激扬新时代园林人敢拼、能闯、实干的奋斗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今年4月份，该局组织开展“园林精神”提炼工作，面向全系统干部职工进行征集，共征集到近百条“园林精神”。经过研究推敲，5条职工认可度较高的“园林精神”脱颖而出。该局召集园林专家、行业大咖进行研究论证和进一步提炼，委托著名导演、园林研究学者刘郎牵头汇集专家意见后撰写了精神解读正稿。在“以园弘美、以绿求卓”第一稿的基础上，又提出了第二稿“以园弘美、以林求卓”，两稿出炉后，再次广泛征集意见，并提交局党委会研究确定，最终形成了“以园弘美、以绿求卓”这一富有时代感、充满正能量、极具引领性的精神成果，引起了共鸣，达成了共识，凝聚了人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“以园弘美、以绿求卓”——让园林精神成为一个“内化于心、外化于行”的价值追求，充分体现了排他性、唯一性、时代性、紧密性、整体性、连贯性。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“以园弘美、以绿求卓”，既是对园林人精神世界的提炼，也是园林人敬业精神的结晶。在当代，更要彰显园林的价值——这便是“以园弘美”；在今天，更要做出最好的业绩——这便是“以绿求卓”。</w:t>
      </w:r>
      <w:r>
        <w:rPr>
          <w:rFonts w:hint="eastAsia" w:ascii="宋体" w:hAnsi="宋体" w:eastAsia="宋体" w:cs="宋体"/>
          <w:b w:val="0"/>
          <w:i w:val="0"/>
          <w:caps w:val="0"/>
          <w:color w:val="333333"/>
          <w:spacing w:val="8"/>
          <w:sz w:val="21"/>
          <w:szCs w:val="21"/>
          <w:shd w:val="clear" w:fill="FFFFFF"/>
        </w:rPr>
        <w:t>□</w:t>
      </w:r>
    </w:p>
    <w:p>
      <w:pPr>
        <w:keepNext w:val="0"/>
        <w:keepLines w:val="0"/>
        <w:widowControl/>
        <w:suppressLineNumbers w:val="0"/>
        <w:spacing w:before="0" w:beforeAutospacing="0" w:after="0" w:afterAutospacing="0"/>
        <w:ind w:left="0" w:right="0"/>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pacing w:val="8"/>
        </w:rPr>
      </w:pPr>
      <w:r>
        <w:rPr>
          <w:rStyle w:val="6"/>
          <w:rFonts w:hint="eastAsia" w:ascii="宋体" w:hAnsi="宋体" w:eastAsia="宋体" w:cs="宋体"/>
          <w:i w:val="0"/>
          <w:caps w:val="0"/>
          <w:color w:val="3DA742"/>
          <w:spacing w:val="8"/>
          <w:sz w:val="28"/>
          <w:szCs w:val="28"/>
          <w:shd w:val="clear" w:fill="FFFFFF"/>
        </w:rPr>
        <w:t>汛期多雨 江苏试点海绵城市建设的地方“海绵”功效如何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进入汛期以来，江苏多地连降大雨，考验着城市的防洪排涝能力。海绵城市在防汛排涝等方面的功效怎样？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——南京江心洲生态科技岛：小雨不湿鞋，大雨不内涝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7月</w:t>
      </w:r>
      <w:r>
        <w:rPr>
          <w:rFonts w:hint="default" w:ascii="Times New Roman" w:hAnsi="Times New Roman" w:eastAsia="宋体" w:cs="Times New Roman"/>
          <w:b w:val="0"/>
          <w:i w:val="0"/>
          <w:caps w:val="0"/>
          <w:color w:val="333333"/>
          <w:spacing w:val="8"/>
          <w:sz w:val="21"/>
          <w:szCs w:val="21"/>
          <w:shd w:val="clear" w:fill="FFFFFF"/>
        </w:rPr>
        <w:t>2</w:t>
      </w:r>
      <w:r>
        <w:rPr>
          <w:rFonts w:hint="eastAsia" w:ascii="宋体" w:hAnsi="宋体" w:eastAsia="宋体" w:cs="宋体"/>
          <w:b w:val="0"/>
          <w:i w:val="0"/>
          <w:caps w:val="0"/>
          <w:color w:val="333333"/>
          <w:spacing w:val="8"/>
          <w:sz w:val="21"/>
          <w:szCs w:val="21"/>
          <w:shd w:val="clear" w:fill="FFFFFF"/>
        </w:rPr>
        <w:t>日下午，南京小雨。江心洲生态科技岛，绕行江岛科创中心和滨江风光带，透水砖铺装的人行道、隔几十公分就有一个缺口的马路牙、下凹式绿地、生态停车场、雨水花园……随处可见“海绵体”配置，小雨中行走无需担心湿鞋，也未看见道路积水现象。南京市建邺区持续高标准建设海绵城市，对所有涉水、涉绿及道路广场项目做到“海绵”建设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2016年南京入选江苏省海绵城市建设试点城市，将江心洲片区和丁家庄保障房片作为试点项目进行重点打造。这几年，被长江包围的江心洲，在雨季中安然无恙，基本实现了小雨不积水，大雨不内涝，海绵建设在排涝中发挥了很好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江心洲编制了海绵城市专项规划，覆盖全岛15平方公里，规划构建</w:t>
      </w:r>
      <w:r>
        <w:rPr>
          <w:rFonts w:hint="default" w:ascii="Times New Roman" w:hAnsi="Times New Roman" w:eastAsia="宋体" w:cs="Times New Roman"/>
          <w:b w:val="0"/>
          <w:i w:val="0"/>
          <w:caps w:val="0"/>
          <w:color w:val="333333"/>
          <w:spacing w:val="8"/>
          <w:sz w:val="21"/>
          <w:szCs w:val="21"/>
          <w:shd w:val="clear" w:fill="FFFFFF"/>
        </w:rPr>
        <w:t>4</w:t>
      </w:r>
      <w:r>
        <w:rPr>
          <w:rFonts w:hint="eastAsia" w:ascii="宋体" w:hAnsi="宋体" w:eastAsia="宋体" w:cs="宋体"/>
          <w:b w:val="0"/>
          <w:i w:val="0"/>
          <w:caps w:val="0"/>
          <w:color w:val="333333"/>
          <w:spacing w:val="8"/>
          <w:sz w:val="21"/>
          <w:szCs w:val="21"/>
          <w:shd w:val="clear" w:fill="FFFFFF"/>
        </w:rPr>
        <w:t>大类</w:t>
      </w:r>
      <w:r>
        <w:rPr>
          <w:rFonts w:hint="default" w:ascii="Times New Roman" w:hAnsi="Times New Roman" w:eastAsia="宋体" w:cs="Times New Roman"/>
          <w:b w:val="0"/>
          <w:i w:val="0"/>
          <w:caps w:val="0"/>
          <w:color w:val="333333"/>
          <w:spacing w:val="8"/>
          <w:sz w:val="21"/>
          <w:szCs w:val="21"/>
          <w:shd w:val="clear" w:fill="FFFFFF"/>
        </w:rPr>
        <w:t>18</w:t>
      </w:r>
      <w:r>
        <w:rPr>
          <w:rFonts w:hint="eastAsia" w:ascii="宋体" w:hAnsi="宋体" w:eastAsia="宋体" w:cs="宋体"/>
          <w:b w:val="0"/>
          <w:i w:val="0"/>
          <w:caps w:val="0"/>
          <w:color w:val="333333"/>
          <w:spacing w:val="8"/>
          <w:sz w:val="21"/>
          <w:szCs w:val="21"/>
          <w:shd w:val="clear" w:fill="FFFFFF"/>
        </w:rPr>
        <w:t>项“海绵”指标，从水系、地块、公园绿地、道路等方面系统推进海绵城市建设，要求每公顷建设用地的雨水调蓄容积不得小于</w:t>
      </w:r>
      <w:r>
        <w:rPr>
          <w:rFonts w:hint="default" w:ascii="Times New Roman" w:hAnsi="Times New Roman" w:eastAsia="宋体" w:cs="Times New Roman"/>
          <w:b w:val="0"/>
          <w:i w:val="0"/>
          <w:caps w:val="0"/>
          <w:color w:val="333333"/>
          <w:spacing w:val="8"/>
          <w:sz w:val="21"/>
          <w:szCs w:val="21"/>
          <w:shd w:val="clear" w:fill="FFFFFF"/>
        </w:rPr>
        <w:t>100</w:t>
      </w:r>
      <w:r>
        <w:rPr>
          <w:rFonts w:hint="eastAsia" w:ascii="宋体" w:hAnsi="宋体" w:eastAsia="宋体" w:cs="宋体"/>
          <w:b w:val="0"/>
          <w:i w:val="0"/>
          <w:caps w:val="0"/>
          <w:color w:val="333333"/>
          <w:spacing w:val="8"/>
          <w:sz w:val="21"/>
          <w:szCs w:val="21"/>
          <w:shd w:val="clear" w:fill="FFFFFF"/>
        </w:rPr>
        <w:t>立方米。如今全岛绿化覆盖率接近</w:t>
      </w:r>
      <w:r>
        <w:rPr>
          <w:rFonts w:hint="default" w:ascii="Times New Roman" w:hAnsi="Times New Roman" w:eastAsia="宋体" w:cs="Times New Roman"/>
          <w:b w:val="0"/>
          <w:i w:val="0"/>
          <w:caps w:val="0"/>
          <w:color w:val="333333"/>
          <w:spacing w:val="8"/>
          <w:sz w:val="21"/>
          <w:szCs w:val="21"/>
          <w:shd w:val="clear" w:fill="FFFFFF"/>
        </w:rPr>
        <w:t>70%</w:t>
      </w:r>
      <w:r>
        <w:rPr>
          <w:rFonts w:hint="eastAsia" w:ascii="宋体" w:hAnsi="宋体" w:eastAsia="宋体" w:cs="宋体"/>
          <w:b w:val="0"/>
          <w:i w:val="0"/>
          <w:caps w:val="0"/>
          <w:color w:val="333333"/>
          <w:spacing w:val="8"/>
          <w:sz w:val="21"/>
          <w:szCs w:val="21"/>
          <w:shd w:val="clear" w:fill="FFFFFF"/>
        </w:rPr>
        <w:t>，年径流总量控制率不低于</w:t>
      </w:r>
      <w:r>
        <w:rPr>
          <w:rFonts w:hint="default" w:ascii="Times New Roman" w:hAnsi="Times New Roman" w:eastAsia="宋体" w:cs="Times New Roman"/>
          <w:b w:val="0"/>
          <w:i w:val="0"/>
          <w:caps w:val="0"/>
          <w:color w:val="333333"/>
          <w:spacing w:val="8"/>
          <w:sz w:val="21"/>
          <w:szCs w:val="21"/>
          <w:shd w:val="clear" w:fill="FFFFFF"/>
        </w:rPr>
        <w:t>80%</w:t>
      </w:r>
      <w:r>
        <w:rPr>
          <w:rFonts w:hint="eastAsia" w:ascii="宋体" w:hAnsi="宋体" w:eastAsia="宋体" w:cs="宋体"/>
          <w:b w:val="0"/>
          <w:i w:val="0"/>
          <w:caps w:val="0"/>
          <w:color w:val="333333"/>
          <w:spacing w:val="8"/>
          <w:sz w:val="21"/>
          <w:szCs w:val="21"/>
          <w:shd w:val="clear" w:fill="FFFFFF"/>
        </w:rPr>
        <w:t>，面源污染削减率高于</w:t>
      </w:r>
      <w:r>
        <w:rPr>
          <w:rFonts w:hint="default" w:ascii="Times New Roman" w:hAnsi="Times New Roman" w:eastAsia="宋体" w:cs="Times New Roman"/>
          <w:b w:val="0"/>
          <w:i w:val="0"/>
          <w:caps w:val="0"/>
          <w:color w:val="333333"/>
          <w:spacing w:val="8"/>
          <w:sz w:val="21"/>
          <w:szCs w:val="21"/>
          <w:shd w:val="clear" w:fill="FFFFFF"/>
        </w:rPr>
        <w:t>60%</w:t>
      </w:r>
      <w:r>
        <w:rPr>
          <w:rFonts w:hint="eastAsia" w:ascii="宋体" w:hAnsi="宋体" w:eastAsia="宋体" w:cs="宋体"/>
          <w:b w:val="0"/>
          <w:i w:val="0"/>
          <w:caps w:val="0"/>
          <w:color w:val="333333"/>
          <w:spacing w:val="8"/>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在江岛科创中心屋顶，郁郁葱葱的植被，屋顶绿化面积高达1349平方米。雨水经屋顶植被和土壤吸水、渗水、净化后，通过一侧的排水管道统一收集于地下室的大型蓄水箱中。蓄水箱可收集</w:t>
      </w:r>
      <w:r>
        <w:rPr>
          <w:rFonts w:hint="default" w:ascii="Times New Roman" w:hAnsi="Times New Roman" w:eastAsia="宋体" w:cs="Times New Roman"/>
          <w:b w:val="0"/>
          <w:i w:val="0"/>
          <w:caps w:val="0"/>
          <w:color w:val="333333"/>
          <w:spacing w:val="8"/>
          <w:sz w:val="21"/>
          <w:szCs w:val="21"/>
          <w:shd w:val="clear" w:fill="FFFFFF"/>
        </w:rPr>
        <w:t>100</w:t>
      </w:r>
      <w:r>
        <w:rPr>
          <w:rFonts w:hint="eastAsia" w:ascii="宋体" w:hAnsi="宋体" w:eastAsia="宋体" w:cs="宋体"/>
          <w:b w:val="0"/>
          <w:i w:val="0"/>
          <w:caps w:val="0"/>
          <w:color w:val="333333"/>
          <w:spacing w:val="8"/>
          <w:sz w:val="21"/>
          <w:szCs w:val="21"/>
          <w:shd w:val="clear" w:fill="FFFFFF"/>
        </w:rPr>
        <w:t>立方米雨水，经消毒、过滤等操作后，最后进入清水箱中。晴天可以把储存的水调出来，用于室外绿化浇灌和景观水池的补水，大大增强了雨水收集利用率。此雨水回收装置，每年可回收利用雨水</w:t>
      </w:r>
      <w:r>
        <w:rPr>
          <w:rFonts w:hint="default" w:ascii="Times New Roman" w:hAnsi="Times New Roman" w:eastAsia="宋体" w:cs="Times New Roman"/>
          <w:b w:val="0"/>
          <w:i w:val="0"/>
          <w:caps w:val="0"/>
          <w:color w:val="333333"/>
          <w:spacing w:val="8"/>
          <w:sz w:val="21"/>
          <w:szCs w:val="21"/>
          <w:shd w:val="clear" w:fill="FFFFFF"/>
        </w:rPr>
        <w:t>4500</w:t>
      </w:r>
      <w:r>
        <w:rPr>
          <w:rFonts w:hint="eastAsia" w:ascii="宋体" w:hAnsi="宋体" w:eastAsia="宋体" w:cs="宋体"/>
          <w:b w:val="0"/>
          <w:i w:val="0"/>
          <w:caps w:val="0"/>
          <w:color w:val="333333"/>
          <w:spacing w:val="8"/>
          <w:sz w:val="21"/>
          <w:szCs w:val="21"/>
          <w:shd w:val="clear" w:fill="FFFFFF"/>
        </w:rPr>
        <w:t>吨，节水</w:t>
      </w:r>
      <w:r>
        <w:rPr>
          <w:rFonts w:hint="default" w:ascii="Times New Roman" w:hAnsi="Times New Roman" w:eastAsia="宋体" w:cs="Times New Roman"/>
          <w:b w:val="0"/>
          <w:i w:val="0"/>
          <w:caps w:val="0"/>
          <w:color w:val="333333"/>
          <w:spacing w:val="8"/>
          <w:sz w:val="21"/>
          <w:szCs w:val="21"/>
          <w:shd w:val="clear" w:fill="FFFFFF"/>
        </w:rPr>
        <w:t>30%</w:t>
      </w:r>
      <w:r>
        <w:rPr>
          <w:rFonts w:hint="eastAsia" w:ascii="宋体" w:hAnsi="宋体" w:eastAsia="宋体" w:cs="宋体"/>
          <w:b w:val="0"/>
          <w:i w:val="0"/>
          <w:caps w:val="0"/>
          <w:color w:val="333333"/>
          <w:spacing w:val="8"/>
          <w:sz w:val="21"/>
          <w:szCs w:val="21"/>
          <w:shd w:val="clear" w:fill="FFFFFF"/>
        </w:rPr>
        <w:t>一</w:t>
      </w:r>
      <w:r>
        <w:rPr>
          <w:rFonts w:hint="default" w:ascii="Times New Roman" w:hAnsi="Times New Roman" w:eastAsia="宋体" w:cs="Times New Roman"/>
          <w:b w:val="0"/>
          <w:i w:val="0"/>
          <w:caps w:val="0"/>
          <w:color w:val="333333"/>
          <w:spacing w:val="8"/>
          <w:sz w:val="21"/>
          <w:szCs w:val="21"/>
          <w:shd w:val="clear" w:fill="FFFFFF"/>
        </w:rPr>
        <w:t>50%</w:t>
      </w:r>
      <w:r>
        <w:rPr>
          <w:rFonts w:hint="eastAsia" w:ascii="宋体" w:hAnsi="宋体" w:eastAsia="宋体" w:cs="宋体"/>
          <w:b w:val="0"/>
          <w:i w:val="0"/>
          <w:caps w:val="0"/>
          <w:color w:val="333333"/>
          <w:spacing w:val="8"/>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——镇江：彻底消除</w:t>
      </w:r>
      <w:r>
        <w:rPr>
          <w:rFonts w:hint="default" w:ascii="Times New Roman" w:hAnsi="Times New Roman" w:eastAsia="宋体" w:cs="Times New Roman"/>
          <w:b w:val="0"/>
          <w:i w:val="0"/>
          <w:caps w:val="0"/>
          <w:color w:val="333333"/>
          <w:spacing w:val="8"/>
          <w:sz w:val="21"/>
          <w:szCs w:val="21"/>
          <w:shd w:val="clear" w:fill="FFFFFF"/>
        </w:rPr>
        <w:t>36</w:t>
      </w:r>
      <w:r>
        <w:rPr>
          <w:rFonts w:hint="eastAsia" w:ascii="宋体" w:hAnsi="宋体" w:eastAsia="宋体" w:cs="宋体"/>
          <w:b w:val="0"/>
          <w:i w:val="0"/>
          <w:caps w:val="0"/>
          <w:color w:val="333333"/>
          <w:spacing w:val="8"/>
          <w:sz w:val="21"/>
          <w:szCs w:val="21"/>
          <w:shd w:val="clear" w:fill="FFFFFF"/>
        </w:rPr>
        <w:t>个易涝积水区，黑臭水体和城市内涝得到根治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自2015年成为全国首批海绵城市建设试点城市以来，通过在高密度老城区的试点实践，形成了“海绵</w:t>
      </w:r>
      <w:r>
        <w:rPr>
          <w:rFonts w:hint="default" w:ascii="Times New Roman" w:hAnsi="Times New Roman" w:eastAsia="宋体" w:cs="Times New Roman"/>
          <w:b w:val="0"/>
          <w:i w:val="0"/>
          <w:caps w:val="0"/>
          <w:color w:val="333333"/>
          <w:spacing w:val="8"/>
          <w:sz w:val="21"/>
          <w:szCs w:val="21"/>
          <w:shd w:val="clear" w:fill="FFFFFF"/>
        </w:rPr>
        <w:t>+</w:t>
      </w:r>
      <w:r>
        <w:rPr>
          <w:rFonts w:hint="eastAsia" w:ascii="宋体" w:hAnsi="宋体" w:eastAsia="宋体" w:cs="宋体"/>
          <w:b w:val="0"/>
          <w:i w:val="0"/>
          <w:caps w:val="0"/>
          <w:color w:val="333333"/>
          <w:spacing w:val="8"/>
          <w:sz w:val="21"/>
          <w:szCs w:val="21"/>
          <w:shd w:val="clear" w:fill="FFFFFF"/>
        </w:rPr>
        <w:t>”模式。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镇江润江家园小区曾因地下水管存在雨污混接现象，雨天积水严重，环境也脏乱差。在海绵城市改造中，小区重新铺设了管网，避免生活污水进入雨水管网，打造了下凹式绿地、雨水花园，部分人行道改造为透水铺装，保证暴雨径流在短时间内渗至土壤中。改造后，解决了雨天积水问题，更提升了老小区人居环境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镇江实践“海绵</w:t>
      </w:r>
      <w:r>
        <w:rPr>
          <w:rFonts w:hint="default" w:ascii="Times New Roman" w:hAnsi="Times New Roman" w:eastAsia="宋体" w:cs="Times New Roman"/>
          <w:b w:val="0"/>
          <w:i w:val="0"/>
          <w:caps w:val="0"/>
          <w:color w:val="333333"/>
          <w:spacing w:val="8"/>
          <w:sz w:val="21"/>
          <w:szCs w:val="21"/>
          <w:shd w:val="clear" w:fill="FFFFFF"/>
        </w:rPr>
        <w:t>+</w:t>
      </w:r>
      <w:r>
        <w:rPr>
          <w:rFonts w:hint="eastAsia" w:ascii="宋体" w:hAnsi="宋体" w:eastAsia="宋体" w:cs="宋体"/>
          <w:b w:val="0"/>
          <w:i w:val="0"/>
          <w:caps w:val="0"/>
          <w:color w:val="333333"/>
          <w:spacing w:val="8"/>
          <w:sz w:val="21"/>
          <w:szCs w:val="21"/>
          <w:shd w:val="clear" w:fill="FFFFFF"/>
        </w:rPr>
        <w:t>治涝</w:t>
      </w:r>
      <w:r>
        <w:rPr>
          <w:rFonts w:hint="default" w:ascii="Times New Roman" w:hAnsi="Times New Roman" w:eastAsia="宋体" w:cs="Times New Roman"/>
          <w:b w:val="0"/>
          <w:i w:val="0"/>
          <w:caps w:val="0"/>
          <w:color w:val="333333"/>
          <w:spacing w:val="8"/>
          <w:sz w:val="21"/>
          <w:szCs w:val="21"/>
          <w:shd w:val="clear" w:fill="FFFFFF"/>
        </w:rPr>
        <w:t>/</w:t>
      </w:r>
      <w:r>
        <w:rPr>
          <w:rFonts w:hint="eastAsia" w:ascii="宋体" w:hAnsi="宋体" w:eastAsia="宋体" w:cs="宋体"/>
          <w:b w:val="0"/>
          <w:i w:val="0"/>
          <w:caps w:val="0"/>
          <w:color w:val="333333"/>
          <w:spacing w:val="8"/>
          <w:sz w:val="21"/>
          <w:szCs w:val="21"/>
          <w:shd w:val="clear" w:fill="FFFFFF"/>
        </w:rPr>
        <w:t>治黑”“海绵</w:t>
      </w:r>
      <w:r>
        <w:rPr>
          <w:rFonts w:hint="default" w:ascii="Times New Roman" w:hAnsi="Times New Roman" w:eastAsia="宋体" w:cs="Times New Roman"/>
          <w:b w:val="0"/>
          <w:i w:val="0"/>
          <w:caps w:val="0"/>
          <w:color w:val="333333"/>
          <w:spacing w:val="8"/>
          <w:sz w:val="21"/>
          <w:szCs w:val="21"/>
          <w:shd w:val="clear" w:fill="FFFFFF"/>
        </w:rPr>
        <w:t>+</w:t>
      </w:r>
      <w:r>
        <w:rPr>
          <w:rFonts w:hint="eastAsia" w:ascii="宋体" w:hAnsi="宋体" w:eastAsia="宋体" w:cs="宋体"/>
          <w:b w:val="0"/>
          <w:i w:val="0"/>
          <w:caps w:val="0"/>
          <w:color w:val="333333"/>
          <w:spacing w:val="8"/>
          <w:sz w:val="21"/>
          <w:szCs w:val="21"/>
          <w:shd w:val="clear" w:fill="FFFFFF"/>
        </w:rPr>
        <w:t>棚改”“海绵</w:t>
      </w:r>
      <w:r>
        <w:rPr>
          <w:rFonts w:hint="default" w:ascii="Times New Roman" w:hAnsi="Times New Roman" w:eastAsia="宋体" w:cs="Times New Roman"/>
          <w:b w:val="0"/>
          <w:i w:val="0"/>
          <w:caps w:val="0"/>
          <w:color w:val="333333"/>
          <w:spacing w:val="8"/>
          <w:sz w:val="21"/>
          <w:szCs w:val="21"/>
          <w:shd w:val="clear" w:fill="FFFFFF"/>
        </w:rPr>
        <w:t>+</w:t>
      </w:r>
      <w:r>
        <w:rPr>
          <w:rFonts w:hint="eastAsia" w:ascii="宋体" w:hAnsi="宋体" w:eastAsia="宋体" w:cs="宋体"/>
          <w:b w:val="0"/>
          <w:i w:val="0"/>
          <w:caps w:val="0"/>
          <w:color w:val="333333"/>
          <w:spacing w:val="8"/>
          <w:sz w:val="21"/>
          <w:szCs w:val="21"/>
          <w:shd w:val="clear" w:fill="FFFFFF"/>
        </w:rPr>
        <w:t>群众诉求”等模式，将海绵改造与黑臭治理、内涝治理，棚户区、城中村改造，以及积水区（点）整治、街巷整治等多目标融合，实现了老旧城区的有序修补和有机更新。通过试点，城市原有的</w:t>
      </w:r>
      <w:r>
        <w:rPr>
          <w:rFonts w:hint="default" w:ascii="Times New Roman" w:hAnsi="Times New Roman" w:eastAsia="宋体" w:cs="Times New Roman"/>
          <w:b w:val="0"/>
          <w:i w:val="0"/>
          <w:caps w:val="0"/>
          <w:color w:val="333333"/>
          <w:spacing w:val="8"/>
          <w:sz w:val="21"/>
          <w:szCs w:val="21"/>
          <w:shd w:val="clear" w:fill="FFFFFF"/>
        </w:rPr>
        <w:t>36</w:t>
      </w:r>
      <w:r>
        <w:rPr>
          <w:rFonts w:hint="eastAsia" w:ascii="宋体" w:hAnsi="宋体" w:eastAsia="宋体" w:cs="宋体"/>
          <w:b w:val="0"/>
          <w:i w:val="0"/>
          <w:caps w:val="0"/>
          <w:color w:val="333333"/>
          <w:spacing w:val="8"/>
          <w:sz w:val="21"/>
          <w:szCs w:val="21"/>
          <w:shd w:val="clear" w:fill="FFFFFF"/>
        </w:rPr>
        <w:t>个易涝积水区得到彻底消除，根治了黑臭水体和城市内涝。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2018年—</w:t>
      </w:r>
      <w:r>
        <w:rPr>
          <w:rFonts w:hint="default" w:ascii="Times New Roman" w:hAnsi="Times New Roman" w:eastAsia="宋体" w:cs="Times New Roman"/>
          <w:b w:val="0"/>
          <w:i w:val="0"/>
          <w:caps w:val="0"/>
          <w:color w:val="333333"/>
          <w:spacing w:val="8"/>
          <w:sz w:val="21"/>
          <w:szCs w:val="21"/>
          <w:shd w:val="clear" w:fill="FFFFFF"/>
        </w:rPr>
        <w:t>2020</w:t>
      </w:r>
      <w:r>
        <w:rPr>
          <w:rFonts w:hint="eastAsia" w:ascii="宋体" w:hAnsi="宋体" w:eastAsia="宋体" w:cs="宋体"/>
          <w:b w:val="0"/>
          <w:i w:val="0"/>
          <w:caps w:val="0"/>
          <w:color w:val="333333"/>
          <w:spacing w:val="8"/>
          <w:sz w:val="21"/>
          <w:szCs w:val="21"/>
          <w:shd w:val="clear" w:fill="FFFFFF"/>
        </w:rPr>
        <w:t>年，镇江每年投入不少于</w:t>
      </w:r>
      <w:r>
        <w:rPr>
          <w:rFonts w:hint="default" w:ascii="Times New Roman" w:hAnsi="Times New Roman" w:eastAsia="宋体" w:cs="Times New Roman"/>
          <w:b w:val="0"/>
          <w:i w:val="0"/>
          <w:caps w:val="0"/>
          <w:color w:val="333333"/>
          <w:spacing w:val="8"/>
          <w:sz w:val="21"/>
          <w:szCs w:val="21"/>
          <w:shd w:val="clear" w:fill="FFFFFF"/>
        </w:rPr>
        <w:t>10</w:t>
      </w:r>
      <w:r>
        <w:rPr>
          <w:rFonts w:hint="eastAsia" w:ascii="宋体" w:hAnsi="宋体" w:eastAsia="宋体" w:cs="宋体"/>
          <w:b w:val="0"/>
          <w:i w:val="0"/>
          <w:caps w:val="0"/>
          <w:color w:val="333333"/>
          <w:spacing w:val="8"/>
          <w:sz w:val="21"/>
          <w:szCs w:val="21"/>
          <w:shd w:val="clear" w:fill="FFFFFF"/>
        </w:rPr>
        <w:t>亿元推进黑臭水体治理，对区域海绵城市达标项目（结合老小区改造），每年投入不少于</w:t>
      </w:r>
      <w:r>
        <w:rPr>
          <w:rFonts w:hint="default" w:ascii="Times New Roman" w:hAnsi="Times New Roman" w:eastAsia="宋体" w:cs="Times New Roman"/>
          <w:b w:val="0"/>
          <w:i w:val="0"/>
          <w:caps w:val="0"/>
          <w:color w:val="333333"/>
          <w:spacing w:val="8"/>
          <w:sz w:val="21"/>
          <w:szCs w:val="21"/>
          <w:shd w:val="clear" w:fill="FFFFFF"/>
        </w:rPr>
        <w:t>3</w:t>
      </w:r>
      <w:r>
        <w:rPr>
          <w:rFonts w:hint="eastAsia" w:ascii="宋体" w:hAnsi="宋体" w:eastAsia="宋体" w:cs="宋体"/>
          <w:b w:val="0"/>
          <w:i w:val="0"/>
          <w:caps w:val="0"/>
          <w:color w:val="333333"/>
          <w:spacing w:val="8"/>
          <w:sz w:val="21"/>
          <w:szCs w:val="21"/>
          <w:shd w:val="clear" w:fill="FFFFFF"/>
        </w:rPr>
        <w:t>亿元，持续推进海绵城市建设。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——江苏全省：截至目前，全省已累计建设</w:t>
      </w:r>
      <w:r>
        <w:rPr>
          <w:rFonts w:hint="default" w:ascii="Times New Roman" w:hAnsi="Times New Roman" w:eastAsia="宋体" w:cs="Times New Roman"/>
          <w:b w:val="0"/>
          <w:i w:val="0"/>
          <w:caps w:val="0"/>
          <w:color w:val="333333"/>
          <w:spacing w:val="8"/>
          <w:sz w:val="21"/>
          <w:szCs w:val="21"/>
          <w:shd w:val="clear" w:fill="FFFFFF"/>
        </w:rPr>
        <w:t>500</w:t>
      </w:r>
      <w:r>
        <w:rPr>
          <w:rFonts w:hint="eastAsia" w:ascii="宋体" w:hAnsi="宋体" w:eastAsia="宋体" w:cs="宋体"/>
          <w:b w:val="0"/>
          <w:i w:val="0"/>
          <w:caps w:val="0"/>
          <w:color w:val="333333"/>
          <w:spacing w:val="8"/>
          <w:sz w:val="21"/>
          <w:szCs w:val="21"/>
          <w:shd w:val="clear" w:fill="FFFFFF"/>
        </w:rPr>
        <w:t>多个海绵城市示范项目，无锡、常州、昆山等</w:t>
      </w:r>
      <w:r>
        <w:rPr>
          <w:rFonts w:hint="default" w:ascii="Times New Roman" w:hAnsi="Times New Roman" w:eastAsia="宋体" w:cs="Times New Roman"/>
          <w:b w:val="0"/>
          <w:i w:val="0"/>
          <w:caps w:val="0"/>
          <w:color w:val="333333"/>
          <w:spacing w:val="8"/>
          <w:sz w:val="21"/>
          <w:szCs w:val="21"/>
          <w:shd w:val="clear" w:fill="FFFFFF"/>
        </w:rPr>
        <w:t>14</w:t>
      </w:r>
      <w:r>
        <w:rPr>
          <w:rFonts w:hint="eastAsia" w:ascii="宋体" w:hAnsi="宋体" w:eastAsia="宋体" w:cs="宋体"/>
          <w:b w:val="0"/>
          <w:i w:val="0"/>
          <w:caps w:val="0"/>
          <w:color w:val="333333"/>
          <w:spacing w:val="8"/>
          <w:sz w:val="21"/>
          <w:szCs w:val="21"/>
          <w:shd w:val="clear" w:fill="FFFFFF"/>
        </w:rPr>
        <w:t>市被确定为省级海绵城市试点城市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江苏已设定目标：到今年底，全省城市建成区20%以上的面积达到海绵城市要求，逐步实现“小雨不积水、大雨不内涝、水体不黑臭、热岛有缓解”的目标。到</w:t>
      </w:r>
      <w:r>
        <w:rPr>
          <w:rFonts w:hint="default" w:ascii="Times New Roman" w:hAnsi="Times New Roman" w:eastAsia="宋体" w:cs="Times New Roman"/>
          <w:b w:val="0"/>
          <w:i w:val="0"/>
          <w:caps w:val="0"/>
          <w:color w:val="333333"/>
          <w:spacing w:val="8"/>
          <w:sz w:val="21"/>
          <w:szCs w:val="21"/>
          <w:shd w:val="clear" w:fill="FFFFFF"/>
        </w:rPr>
        <w:t>2030</w:t>
      </w:r>
      <w:r>
        <w:rPr>
          <w:rFonts w:hint="eastAsia" w:ascii="宋体" w:hAnsi="宋体" w:eastAsia="宋体" w:cs="宋体"/>
          <w:b w:val="0"/>
          <w:i w:val="0"/>
          <w:caps w:val="0"/>
          <w:color w:val="333333"/>
          <w:spacing w:val="8"/>
          <w:sz w:val="21"/>
          <w:szCs w:val="21"/>
          <w:shd w:val="clear" w:fill="FFFFFF"/>
        </w:rPr>
        <w:t>年，全省城市建成区</w:t>
      </w:r>
      <w:r>
        <w:rPr>
          <w:rFonts w:hint="default" w:ascii="Times New Roman" w:hAnsi="Times New Roman" w:eastAsia="宋体" w:cs="Times New Roman"/>
          <w:b w:val="0"/>
          <w:i w:val="0"/>
          <w:caps w:val="0"/>
          <w:color w:val="333333"/>
          <w:spacing w:val="8"/>
          <w:sz w:val="21"/>
          <w:szCs w:val="21"/>
          <w:shd w:val="clear" w:fill="FFFFFF"/>
        </w:rPr>
        <w:t>80%</w:t>
      </w:r>
      <w:r>
        <w:rPr>
          <w:rFonts w:hint="eastAsia" w:ascii="宋体" w:hAnsi="宋体" w:eastAsia="宋体" w:cs="宋体"/>
          <w:b w:val="0"/>
          <w:i w:val="0"/>
          <w:caps w:val="0"/>
          <w:color w:val="333333"/>
          <w:spacing w:val="8"/>
          <w:sz w:val="21"/>
          <w:szCs w:val="21"/>
          <w:shd w:val="clear" w:fill="FFFFFF"/>
        </w:rPr>
        <w:t>以上的面积要达到海绵城市要求。</w:t>
      </w:r>
    </w:p>
    <w:p>
      <w:pPr>
        <w:keepNext w:val="0"/>
        <w:keepLines w:val="0"/>
        <w:widowControl/>
        <w:suppressLineNumbers w:val="0"/>
        <w:jc w:val="left"/>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海绵城市建设是系统性工程，仅以独立的项目很难实现海绵建设目标。为提高海绵城市建设质量，江苏加强相关基础工作和技术研究，积极打造海绵城市产业链，加强海绵城市产学研用和宣传培训，培养了一批践行海绵城市建设理念的“先遣部队”。下一步持续推进建设，江苏将不断提高公众对海绵城市建设重要性的认识，鼓励公众等各方积极参与，共同让水在城市中更“自然”迁移、循环，使城市更具弹性。□</w:t>
      </w:r>
    </w:p>
    <w:p>
      <w:pPr>
        <w:keepNext w:val="0"/>
        <w:keepLines w:val="0"/>
        <w:widowControl/>
        <w:suppressLineNumbers w:val="0"/>
        <w:jc w:val="left"/>
        <w:rPr>
          <w:rFonts w:hint="eastAsia" w:ascii="宋体" w:hAnsi="宋体" w:eastAsia="宋体" w:cs="宋体"/>
          <w:b w:val="0"/>
          <w:i w:val="0"/>
          <w:caps w:val="0"/>
          <w:color w:val="333333"/>
          <w:spacing w:val="8"/>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8"/>
          <w:szCs w:val="28"/>
          <w:bdr w:val="none" w:color="auto" w:sz="0" w:space="0"/>
          <w:shd w:val="clear" w:fill="FFFFFF"/>
        </w:rPr>
        <w:t>团体标准：《长三角区域海绵城市绿地建设技术标准》开题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7月</w:t>
      </w:r>
      <w:r>
        <w:rPr>
          <w:rFonts w:hint="eastAsia" w:ascii="微软雅黑" w:hAnsi="微软雅黑" w:eastAsia="微软雅黑" w:cs="微软雅黑"/>
          <w:b w:val="0"/>
          <w:i w:val="0"/>
          <w:caps w:val="0"/>
          <w:color w:val="333333"/>
          <w:spacing w:val="8"/>
          <w:sz w:val="21"/>
          <w:szCs w:val="21"/>
          <w:bdr w:val="none" w:color="auto" w:sz="0" w:space="0"/>
          <w:shd w:val="clear" w:fill="FFFFFF"/>
        </w:rPr>
        <w:t>10</w:t>
      </w:r>
      <w:r>
        <w:rPr>
          <w:rFonts w:hint="eastAsia" w:ascii="宋体" w:hAnsi="宋体" w:eastAsia="宋体" w:cs="宋体"/>
          <w:b w:val="0"/>
          <w:i w:val="0"/>
          <w:caps w:val="0"/>
          <w:color w:val="333333"/>
          <w:spacing w:val="8"/>
          <w:sz w:val="21"/>
          <w:szCs w:val="21"/>
          <w:bdr w:val="none" w:color="auto" w:sz="0" w:space="0"/>
          <w:shd w:val="clear" w:fill="FFFFFF"/>
        </w:rPr>
        <w:t>日，中国风景园林学会团体标准《长三角区域海绵城市绿地建设技术标准》编制项目开题会以视频会议的形式在上海和北京两地召开。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《标准》立足于长三角一体化国家发展战略高度；立足于生态园林公园城市的建设；立足于城市绿地建设的全过程，对近年来海绵城市和绿地建设相关科研成果进行认真梳理和吸收。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标准》的编制将坚持城市绿地生态功能优先的本质，综合长三角地区绿地建设和地质水文的实际情况，在客观评估和总结经验的基础上，提出海绵城市背景下城市绿地建设的设计要求、技术指标、技术措施、效能评价等。希望通过本标准的编制，规范和指导长三角区域海绵城市的城市绿地建设，推动长三角生态文明建设和城市持续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《标准》主编单位为上海市绿化管理指导站，中国风景园林学会经济与管理研究专业委员会、南京市绿化园林局等10家单位为参编单位。□</w:t>
      </w:r>
    </w:p>
    <w:p>
      <w:pPr>
        <w:keepNext w:val="0"/>
        <w:keepLines w:val="0"/>
        <w:widowControl/>
        <w:suppressLineNumbers w:val="0"/>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8"/>
          <w:szCs w:val="28"/>
          <w:bdr w:val="none" w:color="auto" w:sz="0" w:space="0"/>
          <w:shd w:val="clear" w:fill="FFFFFF"/>
        </w:rPr>
        <w:t>我省部分园林企业2019年度经营实绩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8"/>
          <w:szCs w:val="28"/>
          <w:bdr w:val="none" w:color="auto" w:sz="0" w:space="0"/>
          <w:shd w:val="clear" w:fill="FFFFFF"/>
        </w:rPr>
        <w:t>经济下行导致的投资增速下降或缩减对园林行业影响明显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根据中国风景园林学会和《中国花卉报》社组织开展的全国城市园林绿化企业2019年度经营业绩统计数据，披露了部分园林企业2019年度经营业绩。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总体分析，营收30亿元以上的企业数量从2018年的9家降至2019年的6家；企业最高营业收入从133亿元降至81亿元。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园林行业整体营业额减少的原因是多方面的，主要有：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一是经济下行导致的投资增速下降或缩减，影响到了房地产、市政、生态建设市场的绿化建设投资，而园林行业是靠投资推动的，特别是基础设施的建设投资。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二是是随着园林资质的取消，大量非园林企业涌入，导致僧多粥少。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三是PPP项目的政策变化让一些砸重金进入园林领域的企业开始反思，园林行业的根基是什么？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2019年度经营业绩统计涉及我省的园林企业情况如下：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一、营业收入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苏州园林发展股份有限公司  21.43亿元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美尚生态景观股份有限公司  19.45亿元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绿美艺环境建设集团有限公司  12.76亿元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江苏山水环境建设集团股份有限公司  12.75亿元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常熟古建园林股份有限公司  12.14亿元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苏州金螳螂园林绿化景观有限公司  9.0亿元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二、净利润、净利润率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美尚生态景观股份有限公司  净利润2.15亿元  净利润率11.04%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苏州园林发展股份有限公司  净利润1.52亿元  净利润率7.09%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苏州金螳螂园林绿化景观有限公司  净利润1.07亿元  净利润率11.89%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编者注：净利润率是指企业经营所得的净利润占营业收入的百分比，或占投入资本额的百分比，它能够综合反映一个企业的经营效率。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三、净资产收益率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无锡市园林古典建筑有限公司  42.73%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编者注：净资产收益率反映了股东权益的收益水平，用以衡量公司运用自有资本的效率，指标值越高，说明投资带来的收益越高。该指标体现了自有资本获得净收益的能力。□</w:t>
      </w:r>
    </w:p>
    <w:p>
      <w:pPr>
        <w:keepNext w:val="0"/>
        <w:keepLines w:val="0"/>
        <w:widowControl/>
        <w:suppressLineNumbers w:val="0"/>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8"/>
          <w:szCs w:val="28"/>
          <w:bdr w:val="none" w:color="auto" w:sz="0" w:space="0"/>
          <w:shd w:val="clear" w:fill="FFFFFF"/>
        </w:rPr>
        <w:t>南京：因为青山绿水被央视《新闻联播》点赞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0"/>
          <w:sz w:val="21"/>
          <w:szCs w:val="21"/>
          <w:bdr w:val="none" w:color="auto" w:sz="0" w:space="0"/>
          <w:shd w:val="clear" w:fill="FFFFFF"/>
        </w:rPr>
        <w:t>       7</w:t>
      </w:r>
      <w:r>
        <w:rPr>
          <w:rFonts w:hint="eastAsia" w:ascii="宋体" w:hAnsi="宋体" w:eastAsia="宋体" w:cs="宋体"/>
          <w:b w:val="0"/>
          <w:i w:val="0"/>
          <w:caps w:val="0"/>
          <w:color w:val="333333"/>
          <w:spacing w:val="0"/>
          <w:sz w:val="21"/>
          <w:szCs w:val="21"/>
          <w:bdr w:val="none" w:color="auto" w:sz="0" w:space="0"/>
          <w:shd w:val="clear" w:fill="FFFFFF"/>
        </w:rPr>
        <w:t>月</w:t>
      </w:r>
      <w:r>
        <w:rPr>
          <w:rFonts w:hint="eastAsia" w:ascii="微软雅黑" w:hAnsi="微软雅黑" w:eastAsia="微软雅黑" w:cs="微软雅黑"/>
          <w:b w:val="0"/>
          <w:i w:val="0"/>
          <w:caps w:val="0"/>
          <w:color w:val="333333"/>
          <w:spacing w:val="0"/>
          <w:sz w:val="21"/>
          <w:szCs w:val="21"/>
          <w:bdr w:val="none" w:color="auto" w:sz="0" w:space="0"/>
          <w:shd w:val="clear" w:fill="FFFFFF"/>
        </w:rPr>
        <w:t>5日</w:t>
      </w:r>
      <w:r>
        <w:rPr>
          <w:rFonts w:hint="eastAsia" w:ascii="宋体" w:hAnsi="宋体" w:eastAsia="宋体" w:cs="宋体"/>
          <w:b w:val="0"/>
          <w:i w:val="0"/>
          <w:caps w:val="0"/>
          <w:color w:val="333333"/>
          <w:spacing w:val="0"/>
          <w:sz w:val="21"/>
          <w:szCs w:val="21"/>
          <w:bdr w:val="none" w:color="auto" w:sz="0" w:space="0"/>
          <w:shd w:val="clear" w:fill="FFFFFF"/>
        </w:rPr>
        <w:t>央视《新闻联播》，播出系列报道</w:t>
      </w:r>
      <w:r>
        <w:rPr>
          <w:rFonts w:hint="eastAsia" w:ascii="微软雅黑" w:hAnsi="微软雅黑" w:eastAsia="微软雅黑" w:cs="微软雅黑"/>
          <w:b w:val="0"/>
          <w:i w:val="0"/>
          <w:caps w:val="0"/>
          <w:color w:val="333333"/>
          <w:spacing w:val="0"/>
          <w:sz w:val="21"/>
          <w:szCs w:val="21"/>
          <w:bdr w:val="none" w:color="auto" w:sz="0" w:space="0"/>
          <w:shd w:val="clear" w:fill="FFFFFF"/>
        </w:rPr>
        <w:t>“</w:t>
      </w:r>
      <w:r>
        <w:rPr>
          <w:rFonts w:hint="eastAsia" w:ascii="宋体" w:hAnsi="宋体" w:eastAsia="宋体" w:cs="宋体"/>
          <w:b w:val="0"/>
          <w:i w:val="0"/>
          <w:caps w:val="0"/>
          <w:color w:val="333333"/>
          <w:spacing w:val="0"/>
          <w:sz w:val="21"/>
          <w:szCs w:val="21"/>
          <w:bdr w:val="none" w:color="auto" w:sz="0" w:space="0"/>
          <w:shd w:val="clear" w:fill="FFFFFF"/>
        </w:rPr>
        <w:t>走向我们的小康生活</w:t>
      </w:r>
      <w:r>
        <w:rPr>
          <w:rFonts w:hint="default" w:ascii="Times New Roman" w:hAnsi="Times New Roman" w:eastAsia="微软雅黑" w:cs="Times New Roman"/>
          <w:b w:val="0"/>
          <w:i w:val="0"/>
          <w:caps w:val="0"/>
          <w:color w:val="333333"/>
          <w:spacing w:val="0"/>
          <w:sz w:val="21"/>
          <w:szCs w:val="21"/>
          <w:bdr w:val="none" w:color="auto" w:sz="0" w:space="0"/>
          <w:shd w:val="clear" w:fill="FFFFFF"/>
        </w:rPr>
        <w:t>”</w:t>
      </w:r>
      <w:r>
        <w:rPr>
          <w:rFonts w:hint="eastAsia" w:ascii="宋体" w:hAnsi="宋体" w:eastAsia="宋体" w:cs="宋体"/>
          <w:b w:val="0"/>
          <w:i w:val="0"/>
          <w:caps w:val="0"/>
          <w:color w:val="333333"/>
          <w:spacing w:val="0"/>
          <w:sz w:val="21"/>
          <w:szCs w:val="21"/>
          <w:bdr w:val="none" w:color="auto" w:sz="0" w:space="0"/>
          <w:shd w:val="clear" w:fill="FFFFFF"/>
        </w:rPr>
        <w:t>，聚焦南京《还青山绿水</w:t>
      </w: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333333"/>
          <w:spacing w:val="0"/>
          <w:sz w:val="21"/>
          <w:szCs w:val="21"/>
          <w:bdr w:val="none" w:color="auto" w:sz="0" w:space="0"/>
          <w:shd w:val="clear" w:fill="FFFFFF"/>
        </w:rPr>
        <w:t>造金山银山》。该报道长达</w:t>
      </w:r>
      <w:r>
        <w:rPr>
          <w:rFonts w:hint="eastAsia" w:ascii="微软雅黑" w:hAnsi="微软雅黑" w:eastAsia="微软雅黑" w:cs="微软雅黑"/>
          <w:b w:val="0"/>
          <w:i w:val="0"/>
          <w:caps w:val="0"/>
          <w:color w:val="333333"/>
          <w:spacing w:val="0"/>
          <w:sz w:val="21"/>
          <w:szCs w:val="21"/>
          <w:bdr w:val="none" w:color="auto" w:sz="0" w:space="0"/>
          <w:shd w:val="clear" w:fill="FFFFFF"/>
        </w:rPr>
        <w:t>4</w:t>
      </w:r>
      <w:r>
        <w:rPr>
          <w:rFonts w:hint="eastAsia" w:ascii="宋体" w:hAnsi="宋体" w:eastAsia="宋体" w:cs="宋体"/>
          <w:b w:val="0"/>
          <w:i w:val="0"/>
          <w:caps w:val="0"/>
          <w:color w:val="333333"/>
          <w:spacing w:val="0"/>
          <w:sz w:val="21"/>
          <w:szCs w:val="21"/>
          <w:bdr w:val="none" w:color="auto" w:sz="0" w:space="0"/>
          <w:shd w:val="clear" w:fill="FFFFFF"/>
        </w:rPr>
        <w:t>分</w:t>
      </w:r>
      <w:r>
        <w:rPr>
          <w:rFonts w:hint="default" w:ascii="Times New Roman" w:hAnsi="Times New Roman" w:eastAsia="微软雅黑" w:cs="Times New Roman"/>
          <w:b w:val="0"/>
          <w:i w:val="0"/>
          <w:caps w:val="0"/>
          <w:color w:val="333333"/>
          <w:spacing w:val="0"/>
          <w:sz w:val="21"/>
          <w:szCs w:val="21"/>
          <w:bdr w:val="none" w:color="auto" w:sz="0" w:space="0"/>
          <w:shd w:val="clear" w:fill="FFFFFF"/>
        </w:rPr>
        <w:t>22</w:t>
      </w:r>
      <w:r>
        <w:rPr>
          <w:rFonts w:hint="eastAsia" w:ascii="宋体" w:hAnsi="宋体" w:eastAsia="宋体" w:cs="宋体"/>
          <w:b w:val="0"/>
          <w:i w:val="0"/>
          <w:caps w:val="0"/>
          <w:color w:val="333333"/>
          <w:spacing w:val="0"/>
          <w:sz w:val="21"/>
          <w:szCs w:val="21"/>
          <w:bdr w:val="none" w:color="auto" w:sz="0" w:space="0"/>
          <w:shd w:val="clear" w:fill="FFFFFF"/>
        </w:rPr>
        <w:t>秒，讲述了近年来南京高效治理污染，开展城市生态修复，水清了山秀了，老百姓在绿水青山中走向小康。</w:t>
      </w:r>
      <w:r>
        <w:rPr>
          <w:rFonts w:hint="eastAsia" w:ascii="宋体" w:hAnsi="宋体" w:eastAsia="宋体" w:cs="宋体"/>
          <w:b w:val="0"/>
          <w:i w:val="0"/>
          <w:caps w:val="0"/>
          <w:color w:val="333333"/>
          <w:spacing w:val="8"/>
          <w:sz w:val="21"/>
          <w:szCs w:val="21"/>
          <w:bdr w:val="none" w:color="auto" w:sz="0" w:space="0"/>
          <w:shd w:val="clear" w:fill="FFFFFF"/>
        </w:rPr>
        <w:t>□</w:t>
      </w:r>
    </w:p>
    <w:p>
      <w:pPr>
        <w:keepNext w:val="0"/>
        <w:keepLines w:val="0"/>
        <w:widowControl/>
        <w:suppressLineNumbers w:val="0"/>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8"/>
          <w:szCs w:val="28"/>
          <w:bdr w:val="none" w:color="auto" w:sz="0" w:space="0"/>
          <w:shd w:val="clear" w:fill="FFFFFF"/>
        </w:rPr>
        <w:t>国内首个智慧护栏项目在连云港投入使用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7月</w:t>
      </w:r>
      <w:r>
        <w:rPr>
          <w:rFonts w:hint="default" w:ascii="Times New Roman" w:hAnsi="Times New Roman" w:eastAsia="宋体" w:cs="Times New Roman"/>
          <w:b w:val="0"/>
          <w:i w:val="0"/>
          <w:caps w:val="0"/>
          <w:color w:val="333333"/>
          <w:spacing w:val="8"/>
          <w:sz w:val="21"/>
          <w:szCs w:val="21"/>
          <w:bdr w:val="none" w:color="auto" w:sz="0" w:space="0"/>
          <w:shd w:val="clear" w:fill="FFFFFF"/>
        </w:rPr>
        <w:t>15</w:t>
      </w:r>
      <w:r>
        <w:rPr>
          <w:rFonts w:hint="eastAsia" w:ascii="宋体" w:hAnsi="宋体" w:eastAsia="宋体" w:cs="宋体"/>
          <w:b w:val="0"/>
          <w:i w:val="0"/>
          <w:caps w:val="0"/>
          <w:color w:val="333333"/>
          <w:spacing w:val="8"/>
          <w:sz w:val="21"/>
          <w:szCs w:val="21"/>
          <w:bdr w:val="none" w:color="auto" w:sz="0" w:space="0"/>
          <w:shd w:val="clear" w:fill="FFFFFF"/>
        </w:rPr>
        <w:t>日，国内首个智慧护栏改造项目在连云港市通过验收并投入使用，这是传统基础设施建设迈向“新基建”的第一步。连云港市住建局将以此为契机，在对包括护栏、路灯、标志牌和窨井盖等前端传统基础设施进行数字化改造后，为交通及市政养护等职能部门在城市管理、设施维护、民生保障等方面提供数字支持，提升城镇关键系统运行状态自动感知和重大突发事件智能应急处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该项目改造使用的具体程序是，当采集器受到碰撞后会发射信号到平台，平台自动生成派工单，养护人员根据派工单到现场施工并按系统流程操作上传，每一次派工单将会以一个汇总表的形式展现，工作量、响应时间一目了然，管理人员可根据派工单了解现场损坏情况、养护人员响应时间及修复情况，同时也为后期考核提供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运作单位可以在集中管理、远程监控、故障自动派单、责任落实到人和生成效能评估等方面进行严格管理，实现全市用、管、养等部门的信息数据共享，形成建、管、养一体化闭环系统。下一步，将对已有城市家具设施数据导入管理平台，实现资产管理的数字化、电子化，并逐步形成全方位、及时准确、安全高效的智慧交通新型服务体系。□</w:t>
      </w:r>
    </w:p>
    <w:p>
      <w:pPr>
        <w:keepNext w:val="0"/>
        <w:keepLines w:val="0"/>
        <w:widowControl/>
        <w:suppressLineNumbers w:val="0"/>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Style w:val="6"/>
          <w:rFonts w:hint="eastAsia" w:ascii="宋体" w:hAnsi="宋体" w:eastAsia="宋体" w:cs="宋体"/>
          <w:i w:val="0"/>
          <w:caps w:val="0"/>
          <w:color w:val="3DA742"/>
          <w:spacing w:val="8"/>
          <w:sz w:val="28"/>
          <w:szCs w:val="28"/>
          <w:bdr w:val="none" w:color="auto" w:sz="0" w:space="0"/>
          <w:shd w:val="clear" w:fill="FFFFFF"/>
        </w:rPr>
      </w:pPr>
      <w:r>
        <w:rPr>
          <w:rStyle w:val="6"/>
          <w:rFonts w:hint="eastAsia" w:ascii="宋体" w:hAnsi="宋体" w:eastAsia="宋体" w:cs="宋体"/>
          <w:i w:val="0"/>
          <w:caps w:val="0"/>
          <w:color w:val="3DA742"/>
          <w:spacing w:val="8"/>
          <w:sz w:val="28"/>
          <w:szCs w:val="28"/>
          <w:bdr w:val="none" w:color="auto" w:sz="0" w:space="0"/>
          <w:shd w:val="clear" w:fill="FFFFFF"/>
        </w:rPr>
        <w:t>苏州市风景园林学会召开第八次会员代表大会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8"/>
          <w:szCs w:val="28"/>
          <w:bdr w:val="none" w:color="auto" w:sz="0" w:space="0"/>
          <w:shd w:val="clear" w:fill="FFFFFF"/>
        </w:rPr>
        <w:t>圆满完成换届改选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8"/>
          <w:szCs w:val="28"/>
          <w:bdr w:val="none" w:color="auto" w:sz="0" w:space="0"/>
          <w:shd w:val="clear" w:fill="FFFFFF"/>
        </w:rPr>
        <w:t>茅晓伟任新一届理事会理事长  衣学领任名誉理事长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8"/>
          <w:sz w:val="21"/>
          <w:szCs w:val="21"/>
          <w:bdr w:val="none" w:color="auto" w:sz="0" w:space="0"/>
          <w:shd w:val="clear" w:fill="FFFFFF"/>
        </w:rPr>
      </w:pPr>
      <w:r>
        <w:rPr>
          <w:rFonts w:hint="eastAsia" w:ascii="宋体" w:hAnsi="宋体" w:eastAsia="宋体" w:cs="宋体"/>
          <w:b w:val="0"/>
          <w:i w:val="0"/>
          <w:caps w:val="0"/>
          <w:color w:val="333333"/>
          <w:spacing w:val="8"/>
          <w:sz w:val="21"/>
          <w:szCs w:val="21"/>
          <w:bdr w:val="none" w:color="auto" w:sz="0" w:space="0"/>
          <w:shd w:val="clear" w:fill="FFFFFF"/>
        </w:rPr>
        <w:t>2020年7月4日，苏州市风景园林学会召开第八次会员代表大会，圆满完成换届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改选。大会采取无记名投票方式，选举产生了第八届理事会及监事，茅晓伟任新一届理事会理事长，衣学领任名誉理事长，周苏宁、周祺林、沈伟民、贺风春、周益、张军、毛安元、周军、刘泓、徐学民（兼秘书长）任副理事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8"/>
          <w:sz w:val="21"/>
          <w:szCs w:val="21"/>
          <w:bdr w:val="none" w:color="auto" w:sz="0" w:space="0"/>
          <w:shd w:val="clear" w:fill="FFFFFF"/>
        </w:rPr>
      </w:pPr>
      <w:r>
        <w:rPr>
          <w:rFonts w:hint="eastAsia" w:ascii="宋体" w:hAnsi="宋体" w:eastAsia="宋体" w:cs="宋体"/>
          <w:b w:val="0"/>
          <w:i w:val="0"/>
          <w:caps w:val="0"/>
          <w:color w:val="333333"/>
          <w:spacing w:val="8"/>
          <w:sz w:val="21"/>
          <w:szCs w:val="21"/>
          <w:bdr w:val="none" w:color="auto" w:sz="0" w:space="0"/>
          <w:shd w:val="clear" w:fill="FFFFFF"/>
        </w:rPr>
        <w:t>苏州市风景园林学会于1979年成立，40年来，学会在打造现代国际大都市、美丽幸福新天堂的新征程中，充分利用人才荟萃、知识密集的优势，发挥桥梁助手、专家智库的作用，特别是在政府委托、科学研究、科普教育、评优评奖、专业培训等方面，积极向主管部门建言献策，竭诚为会员提供服务，赢得了主管部门的肯定和广大会员单位的好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8"/>
          <w:sz w:val="21"/>
          <w:szCs w:val="21"/>
          <w:bdr w:val="none" w:color="auto" w:sz="0" w:space="0"/>
          <w:shd w:val="clear" w:fill="FFFFFF"/>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8"/>
          <w:szCs w:val="28"/>
          <w:bdr w:val="none" w:color="auto" w:sz="0" w:space="0"/>
          <w:shd w:val="clear" w:fill="FFFFFF"/>
        </w:rPr>
        <w:t>江苏省风景园林协会印发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8"/>
          <w:szCs w:val="28"/>
          <w:bdr w:val="none" w:color="auto" w:sz="0" w:space="0"/>
          <w:shd w:val="clear" w:fill="FFFFFF"/>
        </w:rPr>
        <w:t>《关于开展2020年度园林绿化工程建设优秀企业工法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8"/>
          <w:szCs w:val="28"/>
          <w:bdr w:val="none" w:color="auto" w:sz="0" w:space="0"/>
          <w:shd w:val="clear" w:fill="FFFFFF"/>
        </w:rPr>
        <w:t>评选工作的通知》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1"/>
          <w:szCs w:val="21"/>
          <w:bdr w:val="none" w:color="auto" w:sz="0" w:space="0"/>
          <w:shd w:val="clear" w:fill="FFFFFF"/>
        </w:rPr>
        <w:t>近日，省风景园林协会印发《关于开展2020年度园林绿化工程建设优秀企业工法评选工作的通知》</w:t>
      </w:r>
      <w:r>
        <w:rPr>
          <w:rFonts w:hint="eastAsia" w:ascii="楷体_GB2312" w:hAnsi="微软雅黑" w:eastAsia="楷体_GB2312" w:cs="楷体_GB2312"/>
          <w:b w:val="0"/>
          <w:i w:val="0"/>
          <w:caps w:val="0"/>
          <w:color w:val="333333"/>
          <w:spacing w:val="0"/>
          <w:sz w:val="21"/>
          <w:szCs w:val="21"/>
          <w:bdr w:val="none" w:color="auto" w:sz="0" w:space="0"/>
          <w:shd w:val="clear" w:fill="FFFFFF"/>
        </w:rPr>
        <w:t>（</w:t>
      </w:r>
      <w:r>
        <w:rPr>
          <w:rFonts w:hint="eastAsia" w:ascii="楷体_GB2312" w:hAnsi="微软雅黑" w:eastAsia="楷体_GB2312" w:cs="楷体_GB2312"/>
          <w:b w:val="0"/>
          <w:i w:val="0"/>
          <w:caps w:val="0"/>
          <w:color w:val="333333"/>
          <w:spacing w:val="8"/>
          <w:sz w:val="21"/>
          <w:szCs w:val="21"/>
          <w:bdr w:val="none" w:color="auto" w:sz="0" w:space="0"/>
          <w:shd w:val="clear" w:fill="FFFFFF"/>
        </w:rPr>
        <w:t>苏园协函</w:t>
      </w:r>
      <w:r>
        <w:rPr>
          <w:rFonts w:hint="eastAsia" w:ascii="楷体_GB2312" w:hAnsi="微软雅黑" w:eastAsia="楷体_GB2312" w:cs="楷体_GB2312"/>
          <w:b w:val="0"/>
          <w:i w:val="0"/>
          <w:caps w:val="0"/>
          <w:color w:val="333333"/>
          <w:spacing w:val="8"/>
          <w:sz w:val="24"/>
          <w:szCs w:val="24"/>
          <w:bdr w:val="none" w:color="auto" w:sz="0" w:space="0"/>
          <w:shd w:val="clear" w:fill="FFFFFF"/>
        </w:rPr>
        <w:t>〔</w:t>
      </w:r>
      <w:r>
        <w:rPr>
          <w:rFonts w:hint="eastAsia" w:ascii="楷体_GB2312" w:hAnsi="微软雅黑" w:eastAsia="楷体_GB2312" w:cs="楷体_GB2312"/>
          <w:b w:val="0"/>
          <w:i w:val="0"/>
          <w:caps w:val="0"/>
          <w:color w:val="333333"/>
          <w:spacing w:val="8"/>
          <w:sz w:val="21"/>
          <w:szCs w:val="21"/>
          <w:bdr w:val="none" w:color="auto" w:sz="0" w:space="0"/>
          <w:shd w:val="clear" w:fill="FFFFFF"/>
        </w:rPr>
        <w:t>2020</w:t>
      </w:r>
      <w:r>
        <w:rPr>
          <w:rFonts w:hint="eastAsia" w:ascii="楷体_GB2312" w:hAnsi="微软雅黑" w:eastAsia="楷体_GB2312" w:cs="楷体_GB2312"/>
          <w:b w:val="0"/>
          <w:i w:val="0"/>
          <w:caps w:val="0"/>
          <w:color w:val="333333"/>
          <w:spacing w:val="8"/>
          <w:sz w:val="24"/>
          <w:szCs w:val="24"/>
          <w:bdr w:val="none" w:color="auto" w:sz="0" w:space="0"/>
          <w:shd w:val="clear" w:fill="FFFFFF"/>
        </w:rPr>
        <w:t>〕</w:t>
      </w:r>
      <w:r>
        <w:rPr>
          <w:rFonts w:hint="eastAsia" w:ascii="楷体_GB2312" w:hAnsi="微软雅黑" w:eastAsia="楷体_GB2312" w:cs="楷体_GB2312"/>
          <w:b w:val="0"/>
          <w:i w:val="0"/>
          <w:caps w:val="0"/>
          <w:color w:val="333333"/>
          <w:spacing w:val="8"/>
          <w:sz w:val="21"/>
          <w:szCs w:val="21"/>
          <w:bdr w:val="none" w:color="auto" w:sz="0" w:space="0"/>
          <w:shd w:val="clear" w:fill="FFFFFF"/>
        </w:rPr>
        <w:t>20号</w:t>
      </w:r>
      <w:r>
        <w:rPr>
          <w:rFonts w:hint="eastAsia" w:ascii="楷体_GB2312" w:hAnsi="微软雅黑" w:eastAsia="楷体_GB2312" w:cs="楷体_GB2312"/>
          <w:b w:val="0"/>
          <w:i w:val="0"/>
          <w:caps w:val="0"/>
          <w:color w:val="333333"/>
          <w:spacing w:val="0"/>
          <w:sz w:val="21"/>
          <w:szCs w:val="21"/>
          <w:bdr w:val="none" w:color="auto" w:sz="0" w:space="0"/>
          <w:shd w:val="clear" w:fill="FFFFFF"/>
        </w:rPr>
        <w:t>）</w:t>
      </w:r>
      <w:r>
        <w:rPr>
          <w:rFonts w:hint="eastAsia" w:ascii="宋体" w:hAnsi="宋体" w:eastAsia="宋体" w:cs="宋体"/>
          <w:b w:val="0"/>
          <w:i w:val="0"/>
          <w:caps w:val="0"/>
          <w:color w:val="333333"/>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1"/>
          <w:szCs w:val="21"/>
          <w:bdr w:val="none" w:color="auto" w:sz="0" w:space="0"/>
          <w:shd w:val="clear" w:fill="FFFFFF"/>
        </w:rPr>
        <w:t>《通知》称：</w:t>
      </w:r>
      <w:r>
        <w:rPr>
          <w:rFonts w:hint="eastAsia" w:ascii="宋体" w:hAnsi="宋体" w:eastAsia="宋体" w:cs="宋体"/>
          <w:b w:val="0"/>
          <w:i w:val="0"/>
          <w:caps w:val="0"/>
          <w:color w:val="333333"/>
          <w:spacing w:val="8"/>
          <w:sz w:val="21"/>
          <w:szCs w:val="21"/>
          <w:bdr w:val="none" w:color="auto" w:sz="0" w:space="0"/>
          <w:shd w:val="clear" w:fill="FFFFFF"/>
        </w:rPr>
        <w:t>根据《江苏省风景园林协会关于推进全省园林绿化工程建设工法工作的意见》，为进一步推进我省园林绿化工程工法的开发和应用，促进园林绿化企业加大创新力度和技术积累，决定开展2020年度园林绿化工程建设优秀企业工法评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1"/>
          <w:szCs w:val="21"/>
          <w:bdr w:val="none" w:color="auto" w:sz="0" w:space="0"/>
          <w:shd w:val="clear" w:fill="FFFFFF"/>
        </w:rPr>
        <w:t>一、评选标准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1"/>
          <w:szCs w:val="21"/>
          <w:bdr w:val="none" w:color="auto" w:sz="0" w:space="0"/>
          <w:shd w:val="clear" w:fill="FFFFFF"/>
        </w:rPr>
        <w:t>1.</w:t>
      </w:r>
      <w:r>
        <w:rPr>
          <w:rFonts w:hint="eastAsia" w:ascii="宋体" w:hAnsi="宋体" w:eastAsia="宋体" w:cs="宋体"/>
          <w:b w:val="0"/>
          <w:i w:val="0"/>
          <w:caps w:val="0"/>
          <w:color w:val="333333"/>
          <w:spacing w:val="8"/>
          <w:sz w:val="21"/>
          <w:szCs w:val="21"/>
          <w:bdr w:val="none" w:color="auto" w:sz="0" w:space="0"/>
          <w:shd w:val="clear" w:fill="FFFFFF"/>
        </w:rPr>
        <w:t>先进性。突出关键技术点，解决工程建设难点问题，保障工程质量。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2.实效性。能有效解决施工技术问题，简便易行。注重节约节俭，效益效率，长效可持续。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3.普适性。适宜在工程建设中复制推广，便于施工操作。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4.创新性。融入新技术新材料新工艺，采用新型施工方法，技术创新。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5.规范性。文本编写规范完整，语句准确严谨。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二、</w:t>
      </w:r>
      <w:r>
        <w:rPr>
          <w:rFonts w:hint="eastAsia" w:ascii="宋体" w:hAnsi="宋体" w:eastAsia="宋体" w:cs="宋体"/>
          <w:b w:val="0"/>
          <w:i w:val="0"/>
          <w:caps w:val="0"/>
          <w:color w:val="333333"/>
          <w:spacing w:val="0"/>
          <w:sz w:val="21"/>
          <w:szCs w:val="21"/>
          <w:bdr w:val="none" w:color="auto" w:sz="0" w:space="0"/>
          <w:shd w:val="clear" w:fill="FFFFFF"/>
        </w:rPr>
        <w:t>申报及评选程序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1"/>
          <w:szCs w:val="21"/>
          <w:bdr w:val="none" w:color="auto" w:sz="0" w:space="0"/>
          <w:shd w:val="clear" w:fill="FFFFFF"/>
        </w:rPr>
        <w:t>1.</w:t>
      </w:r>
      <w:r>
        <w:rPr>
          <w:rFonts w:hint="eastAsia" w:ascii="宋体" w:hAnsi="宋体" w:eastAsia="宋体" w:cs="宋体"/>
          <w:b w:val="0"/>
          <w:i w:val="0"/>
          <w:caps w:val="0"/>
          <w:color w:val="333333"/>
          <w:spacing w:val="8"/>
          <w:sz w:val="21"/>
          <w:szCs w:val="21"/>
          <w:bdr w:val="none" w:color="auto" w:sz="0" w:space="0"/>
          <w:shd w:val="clear" w:fill="FFFFFF"/>
        </w:rPr>
        <w:t>申报条件</w:t>
      </w:r>
      <w:r>
        <w:rPr>
          <w:rStyle w:val="6"/>
          <w:rFonts w:hint="eastAsia" w:ascii="宋体" w:hAnsi="宋体" w:eastAsia="宋体" w:cs="宋体"/>
          <w:i w:val="0"/>
          <w:caps w:val="0"/>
          <w:color w:val="333333"/>
          <w:spacing w:val="8"/>
          <w:sz w:val="21"/>
          <w:szCs w:val="21"/>
          <w:bdr w:val="none" w:color="auto" w:sz="0" w:space="0"/>
          <w:shd w:val="clear" w:fill="FFFFFF"/>
        </w:rPr>
        <w:t>。</w:t>
      </w:r>
      <w:r>
        <w:rPr>
          <w:rFonts w:hint="eastAsia" w:ascii="宋体" w:hAnsi="宋体" w:eastAsia="宋体" w:cs="宋体"/>
          <w:b w:val="0"/>
          <w:i w:val="0"/>
          <w:caps w:val="0"/>
          <w:color w:val="333333"/>
          <w:spacing w:val="8"/>
          <w:sz w:val="21"/>
          <w:szCs w:val="21"/>
          <w:bdr w:val="none" w:color="auto" w:sz="0" w:space="0"/>
          <w:shd w:val="clear" w:fill="FFFFFF"/>
        </w:rPr>
        <w:t>已发布为企业工法；工法必须是申报单位自行研制开发；工法编写内容齐全完整。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2.申报程序。由符合申报条件的企业或各市风景园林协会（学会）报送至江苏省风景园林协会秘书处。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3.专家评审。评委会组织相关专家召开评审会，依据评选标准，提出评审意见。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4.社会公示。评审结果在江苏省风景园林协会官方网站或微信公众号平台公示。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1"/>
          <w:szCs w:val="21"/>
          <w:bdr w:val="none" w:color="auto" w:sz="0" w:space="0"/>
          <w:shd w:val="clear" w:fill="FFFFFF"/>
        </w:rPr>
        <w:t>三、申报时限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1"/>
          <w:szCs w:val="21"/>
          <w:bdr w:val="none" w:color="auto" w:sz="0" w:space="0"/>
          <w:shd w:val="clear" w:fill="FFFFFF"/>
        </w:rPr>
        <w:t>申报截止日期：2020年8月31日。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1"/>
          <w:szCs w:val="21"/>
          <w:bdr w:val="none" w:color="auto" w:sz="0" w:space="0"/>
          <w:shd w:val="clear" w:fill="FFFFFF"/>
        </w:rPr>
        <w:t>《通知》附：</w:t>
      </w:r>
      <w:r>
        <w:rPr>
          <w:rFonts w:hint="eastAsia" w:ascii="宋体" w:hAnsi="宋体" w:eastAsia="宋体" w:cs="宋体"/>
          <w:b w:val="0"/>
          <w:i w:val="0"/>
          <w:caps w:val="0"/>
          <w:color w:val="333333"/>
          <w:spacing w:val="8"/>
          <w:sz w:val="21"/>
          <w:szCs w:val="21"/>
          <w:bdr w:val="none" w:color="auto" w:sz="0" w:space="0"/>
          <w:shd w:val="clear" w:fill="FFFFFF"/>
        </w:rPr>
        <w:t>1.江苏省园林绿化工程建设优秀企业工法申报表； 2.工法文本要求。□</w:t>
      </w:r>
    </w:p>
    <w:p>
      <w:pPr>
        <w:keepNext w:val="0"/>
        <w:keepLines w:val="0"/>
        <w:widowControl/>
        <w:suppressLineNumbers w:val="0"/>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8"/>
          <w:szCs w:val="28"/>
          <w:bdr w:val="none" w:color="auto" w:sz="0" w:space="0"/>
          <w:shd w:val="clear" w:fill="FFFFFF"/>
        </w:rPr>
        <w:t>省协会印发《关于开展服务社会突出贡献企业评选活动的通知》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8"/>
          <w:szCs w:val="28"/>
          <w:bdr w:val="none" w:color="auto" w:sz="0" w:space="0"/>
          <w:shd w:val="clear" w:fill="FFFFFF"/>
        </w:rPr>
        <w:t>对贡献突出的会员单位予以表彰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近日，省风景园林协会印发《关于开展“服务社会突出贡献企业”评选活动的通知》</w:t>
      </w:r>
      <w:r>
        <w:rPr>
          <w:rFonts w:hint="eastAsia" w:ascii="楷体_GB2312" w:hAnsi="微软雅黑" w:eastAsia="楷体_GB2312" w:cs="楷体_GB2312"/>
          <w:b w:val="0"/>
          <w:i w:val="0"/>
          <w:caps w:val="0"/>
          <w:color w:val="333333"/>
          <w:spacing w:val="8"/>
          <w:sz w:val="21"/>
          <w:szCs w:val="21"/>
          <w:bdr w:val="none" w:color="auto" w:sz="0" w:space="0"/>
          <w:shd w:val="clear" w:fill="FFFFFF"/>
        </w:rPr>
        <w:t>（苏园协函〔2020〕21号）。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通知》称：在社会主义市场经济条件下，企业是最重要的市场主体，企业在注重发展和效益的同时，应当提倡对社会的贡献，高度的社会责任感是一个成功企业的必要条件。习近平总书记提出“企业家要珍视自身的社会形象，做爱国敬业、守法经营、创业创新、回报社会的典范。”多年来，我会会员单位在服务社会，履行社会责任方面做了大量工作，树立了良好的行业形象，得到了社会的肯定。为了进一步鼓励、引导会员单位践行社会责任，引领社会风尚，弘扬社会主义核心价值观，宣传我会会员单位在服务社会中的先进事迹。经研究决定，开展“服务社会突出贡献企业”评选活动，对贡献突出的会员单位予以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一、评选原则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实行公开公平公正原则，严格评选程序，严明工作纪律，坚持评选质量，保证表彰对象的真实性、先进性。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二、申报要求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申报单位为我会会员单位，近两年在服务社会活动方面有突出表现，或具有推广价值的经验做法；申报案例为2018年至2020年上半年期间在社会公益慈善、扶贫助学、抗灾救助和疫情防控等方面的先进事迹；案例内容应包括：背景介绍、主要做法、成效、经验等部分，并附相关活动文件、照片、社会评价、票据等佐证资料。申报企业应是单独完成或牵头组织开展活动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三、申报程序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会员单位真实详细填写“服务社会突出贡献企业”申报表、《服务社会案例情况统计表》，于2020年8月31日前报送至江苏省风景园林协会秘书处（所有申报材料须同时提供书面材料（加盖单位公章）和电子稿（Wor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五、申报时间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申报截止日期：2020年8月31日。□</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3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5" descr="IMG_27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color w:val="FFFFFF"/>
          <w:kern w:val="0"/>
          <w:sz w:val="24"/>
          <w:szCs w:val="24"/>
          <w:bdr w:val="none" w:color="auto" w:sz="0" w:space="0"/>
          <w:lang w:val="en-US" w:eastAsia="zh-CN" w:bidi="ar"/>
        </w:rPr>
        <w:t>18</w:t>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3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6" descr="IMG_27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8"/>
          <w:szCs w:val="28"/>
          <w:bdr w:val="none" w:color="auto" w:sz="0" w:space="0"/>
          <w:shd w:val="clear" w:fill="FFFFFF"/>
        </w:rPr>
        <w:t>省风景园林协会召开智慧园林课题项目研讨会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8"/>
          <w:szCs w:val="28"/>
          <w:bdr w:val="none" w:color="auto" w:sz="0" w:space="0"/>
          <w:shd w:val="clear" w:fill="FFFFFF"/>
        </w:rPr>
        <w:t>海绵型绿地技术研究纳入智慧园林课题研究范畴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1"/>
          <w:szCs w:val="21"/>
          <w:bdr w:val="none" w:color="auto" w:sz="0" w:space="0"/>
          <w:shd w:val="clear" w:fill="FFFFFF"/>
        </w:rPr>
        <w:t>7月6日，省风景园林协会在南京召开智慧园林科技项目阶段性成果研讨会，省协会王翔理事长，朱震峻、申晨、赵康兵副理事长，陆文祥、王立平副秘书长，南京、无锡、徐州、泰州市园林管理部门、课题牵头单位久大集团和金埔园林股份有限公司、南京市园林经济、徐州市九州生态园林、凯进生态环境有限公司等园林企业负责人及课题项目相关研究单位人员共20余人参加会议。会议由主持。会议由王翔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1"/>
          <w:szCs w:val="21"/>
          <w:bdr w:val="none" w:color="auto" w:sz="0" w:space="0"/>
          <w:shd w:val="clear" w:fill="FFFFFF"/>
        </w:rPr>
        <w:t>会上，课题牵头单位久智生态科技公司就园林养护智能化、园林管理智能化、园林服务智能化等三个方面汇报了课题研究进展情况，详细介绍了智慧喷灌技术的应用及其功效。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与会专家、代表结合课题组的介绍，围绕智慧园林管养，从两个维度、两个功能方向、跨界融合、多领域联合等方面分别介绍了各自在智慧园林方面的研究、应用情况。大家一致认为，开展智慧园林研究的重点在于针对园林行业的痛点、园林行业的需求和园林行业的未来，做到可复制、可推广、可持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1"/>
          <w:szCs w:val="21"/>
          <w:bdr w:val="none" w:color="auto" w:sz="0" w:space="0"/>
          <w:shd w:val="clear" w:fill="FFFFFF"/>
        </w:rPr>
        <w:t>王翔在作会议总结时指出，专家们的意见、建议是宝贵的、建设性的，为课题继续深入研究提供了改进思路和重要启发，认清了目前我省在智慧园林建设方面的真实水平，明确了今后的发展方向。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1"/>
          <w:szCs w:val="21"/>
          <w:bdr w:val="none" w:color="auto" w:sz="0" w:space="0"/>
          <w:shd w:val="clear" w:fill="FFFFFF"/>
        </w:rPr>
        <w:t>王翔就智慧园林下一步研究工作提出了要求，强调智慧园林课题研究首先要做好科学定位，明确研究目标，要以服务人为根本，运用现代科技手段，通过系统化技术开发与应用，切实提高园林行业管理、服务、维护水平，解决科学、精准、高效养护管理问题，最终实现降本增效，提高园林绿化行业自动化、智慧化、现代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1"/>
          <w:szCs w:val="21"/>
          <w:bdr w:val="none" w:color="auto" w:sz="0" w:space="0"/>
          <w:shd w:val="clear" w:fill="FFFFFF"/>
        </w:rPr>
        <w:t>会议还将海绵型绿地技术研究纳入智慧园林课题研究范畴，扩大实践案例的验证内容，通过不同园林项目的实践来校正和检验科技手段运用的先进性，形成我省智慧园林建设指南并能系统运用。</w:t>
      </w:r>
      <w:r>
        <w:rPr>
          <w:rFonts w:hint="eastAsia" w:ascii="宋体" w:hAnsi="宋体" w:eastAsia="宋体" w:cs="宋体"/>
          <w:b w:val="0"/>
          <w:i w:val="0"/>
          <w:caps w:val="0"/>
          <w:color w:val="333333"/>
          <w:spacing w:val="8"/>
          <w:sz w:val="21"/>
          <w:szCs w:val="21"/>
          <w:bdr w:val="none" w:color="auto" w:sz="0" w:space="0"/>
          <w:shd w:val="clear" w:fill="FFFFFF"/>
        </w:rPr>
        <w:t>□</w:t>
      </w:r>
      <w:r>
        <w:rPr>
          <w:rFonts w:hint="eastAsia" w:ascii="楷体_GB2312" w:hAnsi="微软雅黑" w:eastAsia="楷体_GB2312" w:cs="楷体_GB2312"/>
          <w:b w:val="0"/>
          <w:i w:val="0"/>
          <w:caps w:val="0"/>
          <w:color w:val="333333"/>
          <w:spacing w:val="0"/>
          <w:sz w:val="21"/>
          <w:szCs w:val="21"/>
          <w:bdr w:val="none" w:color="auto" w:sz="0" w:space="0"/>
          <w:shd w:val="clear" w:fill="FFFFFF"/>
        </w:rPr>
        <w:t>（苏园协）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F0CBF"/>
    <w:rsid w:val="17685FE0"/>
    <w:rsid w:val="7CCF0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2020-08-05T08:11:00Z</dcterms:created>
  <dc:creator>Administrator</dc:creator>
  <cp:lastModifiedBy>Administrator</cp:lastModifiedBy>
  <dcterms:modified xsi:type="dcterms:W3CDTF">2020-08-07T09:03:09Z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